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ATAS/449/2015 vom 17. Juni 2015</w:t>
      </w:r>
    </w:p>
    <w:p>
      <w:r>
        <w:t>GE Cour de justice, 2015-06-17, FR</w:t>
      </w:r>
    </w:p>
    <w:p>
      <w:r>
        <w:rPr>
          <w:b/>
        </w:rPr>
        <w:t xml:space="preserve">Quelle: </w:t>
      </w:r>
      <w:r>
        <w:t>https://mcp.opencaselaw.ch/entscheid/ge_gerichte_ATAS_449_2015</w:t>
      </w:r>
    </w:p>
    <w:p>
      <w:r>
        <w:t>FR: GE_GERICHTE ATAS/449/2015 du 17 juin 2015</w:t>
      </w:r>
    </w:p>
    <w:p>
      <w:r>
        <w:t>IT: GE_GERICHTE ATAS/449/2015 del 17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 pose en premier lieu la question de la recevabilité du recours contre la décision de suspension des prestations durant la procédure de révision.</w:t>
      </w:r>
    </w:p>
    <w:p>
      <w:r>
        <w:rPr>
          <w:b/>
        </w:rPr>
        <w:t>E. 3</w:t>
      </w:r>
    </w:p>
    <w:p>
      <w:r>
        <w:t>Les décisions préjudicielles et incidentes désignent toutes les décisions qui ne mettent pas un terme à la procédure et qui ne sont dès lors ni des décisions finales, ni des décisions partielles (ATF 133 V 477 consid. 4.1.3). Les mesures provisionnelles sont tantôt des décisions finales au sens de l'art. 90 de la loi sur le Tribunal fédéral (LTF ; RS 173.110), lorsqu'elles sont prises dans une procédure autonome, tantôt des décisions incidentes lorsqu'elles sont prononcées au cours d'une procédure conduisant à une décision finale ultérieure (ATF 134 II 349 consid. 1.3). Selon l’art. 92 LTF, les décisions préjudicielles et incidentes qui sont notifiées séparément et qui portent sur la compétence ou sur une demande de récusation peuvent faire l'objet d'un recours (al. 1). Ces décisions ne peuvent plus être</w:t>
      </w:r>
    </w:p>
    <w:p>
      <w:r>
        <w:t>A/959/2015 - 7/9 - attaquées ultérieurement (al. 2). Aux termes de l’art. 93 al. 1 LTF,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Les art. 45 et 46 de la loi sur la procédure administrative (PA ; RS 172.021) prévoient les mêmes conditions de recours s’agissant des décisions administratives. Au plan cantonal, l’art. 57 de la loi sur la procédure administrative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La formulation de l’art. 57 let. c LPA est ainsi calquée sur la réglementation fédérale (Thierry TANQUEREL, Manuel de droit administratif, 2011, p. 287 n. 836).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Berne 2000, p. 345).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provisoire du versement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w:t>
      </w:r>
    </w:p>
    <w:p>
      <w:r>
        <w:rPr>
          <w:b/>
        </w:rPr>
        <w:t>E. 4</w:t>
      </w:r>
    </w:p>
    <w:p>
      <w:r>
        <w:t>En l’occurrence, la situation financière du recourant est certes très précaire, dans la mesure où il ne touche plus que la rente de la SUVA. Toutefois, il lui est loisible de demander des prestations d’aide sociale à l'Hospice général s’il est sans revenu pour des raisons de santé ou parce qu’il est sans travail. Au demeurant, le recourant</w:t>
      </w:r>
    </w:p>
    <w:p>
      <w:r>
        <w:t>A/959/2015 - 8/9 - n'a pas allégué subir un dommage irréparable dans ses dernières écritures, se contentant de critiquer la décision querellée sur le fond. Partant, il ne peut être admis que la décision de suspension de la rente et de l'allocation pour impotent cause au recourant un dommage irréparable au sens de la loi, même si la modicité des revenus réalisés par le recourant ne permet pas de conclure que ceux-ci dépassent 30% de sa perte de gain due à l'invalidité, ce qui serait contraire à l'octroi d'une rente d'invalidité entière.</w:t>
      </w:r>
    </w:p>
    <w:p>
      <w:r>
        <w:rPr>
          <w:b/>
        </w:rPr>
        <w:t>E. 5</w:t>
      </w:r>
    </w:p>
    <w:p>
      <w:r>
        <w:t>Il convient toutefois de relever que, selon la jurisprudence du Tribunal fédéral, le prononcé d'une mesure provisionnelle, sous forme de la suspension des prestations, laquelle ne provoque certes pas un préjudice juridique, mais néanmoins une atteinte de fait importante, est uniquement justifiée si la procédure principale est conduite avec célérité et clôturée dans un délai raisonnable (arrêt du Tribunal fédéral 9C_45/2010 du 12 avril 2010 consid. 2.2). Il appartiendra par conséquent à l'intimé d'instruire la procédure de révision avec une rapidité accrue et de rendre une décision sur révision dans les meilleurs délais. A défaut, non seulement il se rendra coupable d'un déni de justice, mais le maintien de la suspension du versement des prestations risque de devenir contraire au droit (ibidem).</w:t>
      </w:r>
    </w:p>
    <w:p>
      <w:r>
        <w:rPr>
          <w:b/>
        </w:rPr>
        <w:t>E. 6</w:t>
      </w:r>
    </w:p>
    <w:p>
      <w:r>
        <w:t>Cela étant, le recours sera déclaré irrecevable.</w:t>
      </w:r>
    </w:p>
    <w:p>
      <w:r>
        <w:t>A/959/2015 - 9/9 -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