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ATAS/448/2020 vom 9. Juni 2020</w:t>
      </w:r>
    </w:p>
    <w:p>
      <w:r>
        <w:t>GE Cour de justice, 2020-06-09, FR</w:t>
      </w:r>
    </w:p>
    <w:p>
      <w:r>
        <w:rPr>
          <w:b/>
        </w:rPr>
        <w:t xml:space="preserve">Quelle: </w:t>
      </w:r>
      <w:r>
        <w:t>https://mcp.opencaselaw.ch/entscheid/ge_gerichte_ATAS_448_2020</w:t>
      </w:r>
    </w:p>
    <w:p>
      <w:r>
        <w:t>FR: GE_GERICHTE ATAS/448/2020 du 9 juin 2020</w:t>
      </w:r>
    </w:p>
    <w:p>
      <w:r>
        <w:t>IT: GE_GERICHTE ATAS/448/2020 del 9 giugno 2020</w:t>
      </w:r>
    </w:p>
    <w:p>
      <w:pPr>
        <w:pStyle w:val="Heading2"/>
      </w:pPr>
      <w:r>
        <w:t>Erwägungen</w:t>
      </w:r>
    </w:p>
    <w:p>
      <w:r>
        <w:rPr>
          <w:b/>
        </w:rPr>
        <w:t>E. 31</w:t>
      </w:r>
    </w:p>
    <w:p>
      <w:r>
        <w:t>Par acte du 7 octobre 2019, l'assurée, sous la plume de son nouveau mandataire, interjette un recours contre cette décision, concluant, sous suite de frais et dépens, principalement, à son annulation et à l'octroi d'une rente entière dès février 2011,</w:t>
      </w:r>
    </w:p>
    <w:p>
      <w:r>
        <w:t>A/3755/2019 - 8/19 - subsidiairement, à l'octroi d'un reclassement, et plus subsidiairement, au renvoi de la cause à l'intimé pour nouvelle décision au sens des considérants. La recourante conteste disposer d'une capacité de travail entière dans une activité adaptée à ses limitations fonctionnelles dès le 30 juin 2011. Elle fait valoir que la capacité de travail retenue par l'intimé est purement théorique, dès lors qu'au vu du nombre et de l'importance de ses limitations énumérées dans le rapport d'expertise du 18 mars 2014, aucune activité professionnelle n'est adaptée. Elle ajoute que c'est en raison de son état de santé que les différentes mesures d'ordre professionnel ont pris fin prématurément, si bien que sa capacité de travail, nulle dans toute activité, permet l'octroi d'une rente entière d'invalidité. Elle expose ensuite que dans la mesure où son état de santé ne s'est pas amélioré depuis l'arrêt du 6 octobre 2015, son taux d'invalidité ne peut être inférieur à 20%. De plus, il convient, selon elle, d'opérer un abattement de 25% sur le salaire statistique, compte tenu de ses nombreuses limitations fonctionnelles et de son âge. Partant, son taux d'invalidité, supérieur à 20%, lui permet de bénéficier des mesures de reclassement.</w:t>
      </w:r>
    </w:p>
    <w:p>
      <w:r>
        <w:rPr>
          <w:b/>
        </w:rPr>
        <w:t>E. 32</w:t>
      </w:r>
    </w:p>
    <w:p>
      <w:r>
        <w:t>Dans sa réponse du 19 novembre 2019, l'intimé conclut au rejet du recours. Il relève, se référant à l'avis du SMR du 16 novembre 2018, que l'état de santé de la recourante ne s'est pas modifié depuis l'appréciation faite en juillet 2014, et rappelle les conclusions du rapport final du service de réadaptation.</w:t>
      </w:r>
    </w:p>
    <w:p>
      <w:r>
        <w:rPr>
          <w:b/>
        </w:rPr>
        <w:t>E. 33</w:t>
      </w:r>
    </w:p>
    <w:p>
      <w:r>
        <w:t>Dans sa réplique du 10 février 2020, la recourante persiste dans ses conclusions et conclut préalablement à la mise en œuvre d'une expertise pluridisciplinaire. Elle allègue une aggravation de son état de santé sur les plans auditif et psychique. À l'appui de sa position, elle produit: – le résultat de l'audiogramme du 31 janvier 2020 établi par un audioprothésiste, – un rapport du 4 février 2020 du Dr D______, indiquant que suite à la cessation des mesures de reclassement professionnel, l'évolution médicale de sa patiente a été dominée par une nette péjoration du trouble dépressif récurrent avec incapacité secondaire à se confronter aux exigences de rendement professionnel habituellement attendues. Une nette diminution de la résistance au stress était constatée. L'aggravation thymique se traduisait principalement par une anhédonie, un isolement social progressif et une incapacité à réaliser les tâches de la vie quotidienne. D'autres éléments de la lignée dépressive étaient nettement identifiables et attestaient d'une nette aggravation du status psychologique. La situation médicale était clairement corrélée à une péjoration progressive du status otologique et rhumatologique et avait été amplifiée par l'incapacité de la patiente à poursuivre les mesures de reclassement, vécues comme une incapacité à se réinsérer socio-professionnellement. L'apparition de graves problèmes de santé de son mari ébranlait gravement les perspectives d'une stabilisation thymique ultérieure. Les cervico-brachialgies droite persistaient et il existait une</w:t>
      </w:r>
    </w:p>
    <w:p>
      <w:r>
        <w:t>A/3755/2019 - 9/19 - péjoration progressive de son hypoacousie gauche. L'audiogramme tonal effectué le 19 mai 2015 montrait une cophose droite déjà connue et une péjoration de l'audition à gauche (CPT de 82% contre 66% le 2 septembre 2014). Dans ce contexte, aucune activité n'était exigible; – le rapport du 6 février 2020 du Dr C______, mentionnant que depuis juillet 2019, la patiente présentait une forte symptomatologie négative avec un retrait social, des évitements anxieux en lien avec un trouble panique et une agoraphobie secondaire. L'épisode dépressif était entretenu par un avenir incertain et l'incompréhension de la non-reconnaissance de ses handicaps, ainsi que par la souffrance qui en découlait. Elle était incapable d'assumer un travail professionnel. La tentative de réadaptation, qui avait échoué, semblait le confirmer.</w:t>
      </w:r>
    </w:p>
    <w:p>
      <w:r>
        <w:rPr>
          <w:b/>
        </w:rPr>
        <w:t>E. 34</w:t>
      </w:r>
    </w:p>
    <w:p>
      <w:r>
        <w:t>Dans sa duplique du 5 mars 2020, l'intimé expose que les mesures de reclassement professionnel tentées ont été abandonnées du fait de l'absence de motivation de la recourante. L'échec de ces mesures ne signifie donc nullement que l'exercice d'une activité professionnelle ne serait plus exigible. Par ailleurs, une nouvelle expertise ne se justifie pas en l'absence d'éléments médicaux objectifs nouveaux.</w:t>
      </w:r>
    </w:p>
    <w:p>
      <w:r>
        <w:rPr>
          <w:b/>
        </w:rPr>
        <w:t>E. 35</w:t>
      </w:r>
    </w:p>
    <w:p>
      <w:r>
        <w:t>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compte tenu du report au lundi 7 octobre 2019 de l'échéance dudit délai tombée sur le dimanche 6 octobre 2019 (art. 38 al. 3 LPGA). 3. À titre liminaire, il y a lieu de relever que la décision de refus de rente d'invalidité du 17 octobre 2014 est entrée en force lorsque le 26 avril 2016 le Tribunal fédéral a rejeté le recours contre l'arrêt cantonal du 6 octobre 2015 la confirmant (cf. art. 61 de la loi sur le Tribunal fédéral du 17 juin 2005 [LTF – RS 173.110]). Postérieurement à l'arrêt du Tribunal fédéral, par pli du 15 juin 2016, la recourante a annoncé à l'intimé une aggravation de son état de santé psychique en produisant un rapport du Dr B______. Par la suite, elle a également versé au dossier des arrêts de travail établis par son psychiatre traitant. Il convient d'assimiler la lettre du 15 juin 2016 à une nouvelle demande, et de constater que l'intimé a examiné</w:t>
      </w:r>
    </w:p>
    <w:p>
      <w:r>
        <w:t>A/3755/2019 - 10/19 - matériellement cette demande, en mettant en œuvre une expertise psychiatrique. Il est partant entré en matière. Le litige porte en conséquence, dans le cadre d'une nouvelle demande de prestations, sur le droit de la recourante à une rente d’invalidité entière et à une mesure de reclassement. 4. Quand l'administration entre en matière sur une nouvelle demande (art. 87 al. 3 du règlement sur l’assurance-invalidité du 17 janvier 1961 [RAI – RS 831.201]),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 à-dire comparer les circonstances existant lorsque la nouvelle décision est prise avec celles qui existaient lorsque la dernière décision reposant sur un examen matériel du droit à la rente est entrée en force (ATF 133 V 108 consid. 5), pour apprécier si dans l'intervalle est intervenue une modification sensible du degré d'invalidité justifiant désormais l'octroi d'une rente.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130 V 343 consid. 3.5.2).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A/3755/2019 - 11/19 - 6.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Dans sa jurisprudence récente (ATF 143 V 409 consid. 4.5 et ATF 143 V 418 consid. 6 et 7 du 30 novembre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aux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w:t>
      </w:r>
    </w:p>
    <w:p>
      <w:r>
        <w:t>A/3755/2019 - 12/19 -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 cf. ATAS/676/2019 du 26 juillet 2019 consid. 10a ; ATAS/856/2019 du 12 septembre 2019 consid. 6). 8.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A/3755/2019 - 13/19 -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des assurances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w:t>
      </w:r>
    </w:p>
    <w:p>
      <w:r>
        <w:t>A/3755/2019 - 14/19 - vérifiables ayant été ignorés dans le cadre de l'expertise et qui sont suffisamment pertinents pour remettre en cause les conclusions de l'expert (arrêt du Tribunal fédéral 9C_369/2008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a. En l'espèce, il convient de déterminer si l’état de santé de la recourante s’est péjoré entre le 17 octobre 2014, date de la décision rejetant la première demande de prestations, et le 2 septembre 2019, date de la décision querellée, rejetant la nouvelle demande de prestations. b. La décision d’octobre 2014, entrée en force, s’appuyait sur un rapport d’expertise du 18 mars 2014 dont il ressortait que la recourante souffrait, avec incidence sur sa capacité de travail, de cervicalgies chroniques, de surdité totale droite et de surdité de perception gauche de degré moyen à sévère, appareillée; et sans répercussion sur la capacité de travail, d'état dépressif léger. Sa capacité de travail, nulle dans son activité habituelle de polisseuse en horlogerie et d'éducatrice de la petite enfance, était complète dans une activité adaptée peu exigeante pour l'audition, de préférence en milieu calme avec peu de communication verbale, sans travail en position fixe de la colonne cervicale, sans port régulier de charges supérieures à 10 kg, sans engagement physique lourd, et avec possibilité de changements fréquents de position. c/aa. La décision querellée du 2 septembre 2019 se fonde sur un rapport d'expertise psychiatrique du 6 octobre 2018, posant le diagnostic de dysthymie (F34.1), associée à une exagération des plaintes. c/bb. La chambre de céans observe que ce rapport remplit toutes les exigences auxquelles la jurisprudence soumet la valeur probante d'un tel document. En effet, il comprend le résumé du dossier, l'anamnèse, les indications subjectives de la recourante, des observations cliniques, ainsi que des conclusions motivées et convaincantes. Sur le fond, l’expert, qui a pris en considération les indicateurs déterminants applicables aux troubles psychiques, développés par la nouvelle jurisprudence en lien avec les troubles somatoformes douloureux, a expliqué de manière circonstanciée les motifs pour lesquels il retenait une dysthymie non incapacitante (éventuellement un trouble panique, sans ralentissement fonctionnel significatif),</w:t>
      </w:r>
    </w:p>
    <w:p>
      <w:r>
        <w:t>A/3755/2019 - 15/19 - excluait d'autres diagnostics (agoraphobie, trouble de la personnalité), et s'écartait des diagnostics posés par le Dr B______ en mars 2016 (étant du reste souligné que ce psychiatre n'a pas précisé dans son rapport que l'atteinte à la santé psychique entraînait d'éventuelles limitations fonctionnelles et impactait, cas échéant, négativement la capacité de travail de la recourante). En particulier, l'expert a exposé que l'absence d'une médication antidépressive plaidait contre la sévérité alléguée de l'affection psychique. Par ailleurs, les limitations totales signalées liées à l'exercice d'une activité professionnelle résultaient d'une exagération des plaintes au vu du comportement observé (soupirs ostensibles, faciès expressif majoritairement souriant, absence de signe de fatigue, de ralentissement psychomoteur, de fatigabilité cognitive, de trouble de l'attention et de la concentration, ainsi que de la mémoire). La recourante bénéficiait en outre d'un réseau social positif, ses centres d’intérêts et loisirs étaient conservés (films, séries, jeux, promenade, piscine, fête, vacances), et elle était autonome dans les fonctions de la vie quotidienne (elle cuisinait, entretenait le logement, et effectuait les courses) quand bien même l’époux, les enfants et la belle-fille participaient également à la réalisation des tâches ménagères (cf. rapport d’expertise, p. 27). Dans ces circonstances, on doit admettre avec l'expert que l'affection psychique de la recourante n'a pas valeur de maladie. c/cc. Au stade de sa réplique – seulement −, la recourante a produit le rapport du Dr D______ du 4 février 2020 et celui du Dr C______ du 6 février 2020, relevant une aggravation de l’état de santé psychique survenue suite à la cessation des mesures de reclassement professionnel. La chambre de céans constate cependant que les médecins traitants rapportent essentiellement les indications subjectives de la recourante, sans préciser si les plaintes de celle-ci étaient expliquées par les constatations objectives. En particulier, l’affirmation – très sommaire − du Dr D______ selon laquelle « d’autres éléments de la lignée dépressive étaient nettement identifiables et attestaient d’une nette aggravation du status psychologique » ne saurait suffire pour discréditer les conclusions motivées et convaincantes de l’expert psychiatre, d’autant moins que ce dernier avait procédé à l’évaluation médicale complète de la recourante suite à la cessation de la mesure mise en place auprès de l’ORIF. Or, l’expert s’est prononcé quant à la capacité de travail de la recourante au vu de l'analyse des indicateurs jurisprudentiels, sur la base des déclarations de celle-ci, ainsi que de ses observations cliniques. Il s’avère donc que les rapports des médecins traitants ne jettent pas le moindre doute sur la valeur probante des conclusions de l’expert psychiatre. d. Sur le plan somatique, aucun médecin n’atteste que les douleurs inguinales survenues en août 2018 seraient incapacitantes. En ce qui concerne l’atteinte à l’ouïe, dans un courrier joint à la réplique, le Dr D______ a fait état d’une péjoration de l’audition à gauche mise en évidence par un audiogramme tonal du 19</w:t>
      </w:r>
    </w:p>
    <w:p>
      <w:r>
        <w:t>A/3755/2019 - 16/19 - mai 2015 (soit cinq ans plus tôt), sans toutefois fournir plus d’éléments sur la capacité de travail de la recourante depuis lors. Enfin, quant au rapport de l’audiogramme du 31 janvier 2020 établi par un audioprothésiste (qui n’est pas médecin), aucun médecin ne s’est déterminé à ce sujet. Or, la chambre de céans doit pouvoir s’appuyer sur des rapports émanant de médecins pour pouvoir établir le droit à des prestations. e. Force est donc de constater que l'état de santé de la recourante ne s'est pas péjoré depuis le précédent refus de rente, entré en force, au point de modifier sa capacité de travail résiduelle qui était entière dans une activité adaptée à ses limitations fonctionnelles somatiques. f/aa. En l’absence d’une aggravation sensible de l’état de santé de la recourante depuis octobre 2014, son degré d’invalidité fixé à l’époque à 20% ne s’est donc pas modifié. Par ailleurs, la mesure de réadaptation n’ayant pas été réussie, il n’existait pas un motif de révision (arrêt du Tribunal fédéral du 9C_231/2016 consid. 2.1 a contrario), puisqu’un nouveau revenu d’invalide ne pouvait dans ce cas pas être pris en considération. C’est ainsi à tort que l’intimé a procédé à de nouveaux calculs pour évaluer le taux d’invalidité de la recourante. f/bb. On relèvera au passage que c’est à tort que la recourante, âgée de 49 ans à la date de la décision litigieuse, soutient que la capacité de travail retenue par l’intimé est purement théorique, et qu’il n’existe aucune activité professionnelle adaptée à son état de santé. Dans l’arrêt 9C_869/2015 du 26 avril 2016, opposant les parties, le Tribunal fédéral a déjà écarté cet argument (consid. 4), considérant que, sur le plan strictement médical, il n'existe aucun élément qui laisserait à penser qu'elle ne serait pas en mesure d'exercer une activité lucrative adaptée à ses limitations fonctionnelles, que sur le plan personnel et professionnel, la mise en valeur de sa capacité résiduelle de travail dans une activité adaptée apparaît également exigible, vu qu’elle n’a pas encore atteint l'âge à partir duquel la jurisprudence considère généralement qu'il n'existe plus de possibilité réaliste de mise en valeur de la capacité résiduelle de travail sur un marché du travail supposé équilibré, et qu’enfin le marché du travail offre un large éventail d'activités légères, dont on doit convenir qu'un nombre important sont adaptées aux limitations de la recourante. g. Sur le vu de ce qui précède, la recourante n’a pas droit à une rente d’invalidité. h. L’expertise pluridisciplinaire requise par celle-ci est en conséquence inutile, de sorte que, par appréciation anticipée des preuves (ATF 122 II 464 consid. 4a; 122 III 219 consid. 3c), la chambre de céans n'y donnera pas suite. 11. La recourante réclame une mesure de reclassement. 12. a. Selon l’art. 17 LAI, l’assuré a droit au reclassement dans une nouvelle profession si son invalidité rend cette mesure nécessaire et que sa capacité de gain peut ainsi, selon toute vraisemblance, être maintenue ou améliorée (al. 1).</w:t>
      </w:r>
    </w:p>
    <w:p>
      <w:r>
        <w:t>A/3755/2019 - 17/19 - Le droit au reclassement suppose ainsi que l’assuré soit invalide ou menacé d’une invalidité imminente (art. 8 al. 1 LAI). Est réputé invalide au sens de l’art. 17 LAI celui qui n’est pas suffisamment réadapté, l’activité lucrative exercée jusque-là n’étant plus raisonnablement exigible ou ne l’étant plus que partiellement en raison de la forme et de la gravité de l’atteinte à la santé. b.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c.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Contrairement au droit à une rente (art. 28 al. 1 LAI), la loi ne dit pas à partir de quel degré d’invalidité l’assuré peut prétendre à des mesures de réadaptation. En revanche, le seuil minimum fixé par la jurisprudence pour ouvrir droit à une mesure de reclassement est une diminution de la capacité de gain de l’ordre de 20% (ATF 124 V 108 consid. 2b et les références). 13. En l’espèce, la recourante a droit à un reclassement, puisqu’elle présente – toujours − un taux d'invalidité de 20%.</w:t>
      </w:r>
    </w:p>
    <w:p>
      <w:r>
        <w:t>A/3755/2019 - 18/19 - Dans l’arrêt 9C_869/2015 opposant les parties, le Tribunal fédéral a relevé que la mesure de reclassement allouée par la chambre de céans à l’époque (ATAS/763/2015) permettrait de cerner au mieux les compétences et capacités professionnelles de la recourante − qui ne peut plus exercer l’activité d'éducatrice pour la petite enfance et de polisseuse en horlogerie. La chambre de céans observe qu’il était inutile de proposer à la recourante des stages pour vérifier sur le terrain la faisabilité du métier d’éducatrice de la petite enfance (cf. rapport du 30 novembre 2017), en particulier au sein d’une crèche, cette activité n’étant pas adaptée à son état de santé (cf. rapport d’expertise du 18 mars 2014, p. 22). Si, les mesures tentées au Foyer E______ dans le domaine des soins pour des activités d’accompagnement individuel des personnes âgées (cf. note du 27 mars 2018) ou auprès de l’ORIF dans des activités de conditionnement léger (cf. rapport du 13 juillet 2018) étaient certes compatibles à l’état de santé de la recourante, en revanche, cette dernière n’était pas motivée à exercer de telles activités (cf. note du 27 avril 2018 et rapport du 13 juillet 2018). L’intimé considère alors que l’échec des diverses mesures est dû au manque de faculté subjective de reclassement dont faisait état la recourante. La question de savoir si tel était le cas peut rester ouverte, car la chambre de céans constate quoi qu’il en soit que l’intimé, avant de clôturer le mandat de réadaptation, a omis de procéder à la mise en demeure formelle de la recourante requise par l'art. 21 al. 4 LPGA, ce qui constitue une violation du droit fédéral. La cause doit dès lors être renvoyée à l'intimé, afin qu'il statue à nouveau sur le droit à une mesure de reclassement après avoir procédé à la sommation légale prévue à l'art. 21 al. 4 LPGA. 14. Au vu de ce qui précède, le recours est partiellement admis, la décision querellée annulée, et le dossier renvoyé à l’intimé afin qu’il procède conformément au considérant 13. 15. Représentée par un mandataire, la recourante, qui obtient partiellement gain de cause, a droit à une indemnité de procédure, arrêtée en l’espèce à CHF 1’000.- (art. 61 let. g LPGA; art. 89H al. 3 LPA; art. 6 du règlement sur les frais, émoluments et indemnités en matière administrative, du 30 juillet 1986 [RFPA – RS/GE E 5 10.03]). 16. La procédure de recours en matière de contestations portant sur l’octroi ou le refus de prestations de l’assurance-invalidité étant soumise à des frais de justice (art. 69 al. 1bis LAI), au vu du sort du recours, il y a lieu de condamner l’intimé au paiement d’un émolument de CHF 200.-.</w:t>
      </w:r>
    </w:p>
    <w:p>
      <w:r>
        <w:t>A/3755/2019 - 19/19 -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