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ATAS/448/2019 vom 20. Mai 2019</w:t>
      </w:r>
    </w:p>
    <w:p>
      <w:r>
        <w:t>GE Cour de justice, 2019-05-20, FR</w:t>
      </w:r>
    </w:p>
    <w:p>
      <w:r>
        <w:rPr>
          <w:b/>
        </w:rPr>
        <w:t xml:space="preserve">Quelle: </w:t>
      </w:r>
      <w:r>
        <w:t>https://mcp.opencaselaw.ch/entscheid/ge_gerichte_ATAS_448_2019</w:t>
      </w:r>
    </w:p>
    <w:p>
      <w:r>
        <w:t>FR: GE_GERICHTE ATAS/448/2019 du 20 mai 2019</w:t>
      </w:r>
    </w:p>
    <w:p>
      <w:r>
        <w:t>IT: GE_GERICHTE ATAS/448/2019 del 20 maggio 2019</w:t>
      </w:r>
    </w:p>
    <w:p>
      <w:pPr>
        <w:pStyle w:val="Heading2"/>
      </w:pPr>
      <w:r>
        <w:t>Erwägungen</w:t>
      </w:r>
    </w:p>
    <w:p>
      <w:r>
        <w:rPr>
          <w:b/>
        </w:rPr>
        <w:t>E. 1</w:t>
      </w:r>
    </w:p>
    <w:p>
      <w:r>
        <w:t>Conformément à l'art. 134 al. 3 let. a de la loi sur l'organisation judiciaire, du 26 septembre 2010 (LOJ - E 2 05), en vigueur dès le 1er janvier 2011, la chambre des assurances sociales de la Cour de justice connaît en instance unique des</w:t>
      </w:r>
    </w:p>
    <w:p>
      <w:r>
        <w:t>A/1408/2018 - 7/12 - contestations prévues à l'art. 43 de la loi cantonale sur les prestations cantonales complémentaires, du 25 octobre 1968 (LPCC - J 4 25), à savoir des recours contre les décisions sur opposition et celles contre lesquelles la voie de l’opposition n’est pas ouverte, prises par le SPC en application de la LPCC. Sa compétence pour juger du cas d’espèce est ainsi établie.</w:t>
      </w:r>
    </w:p>
    <w:p>
      <w:r>
        <w:rPr>
          <w:b/>
        </w:rPr>
        <w:t>E. 2</w:t>
      </w:r>
    </w:p>
    <w:p>
      <w:r>
        <w:t>Interjeté en temps utile, le recours est recevable (art. 43 LPCC).</w:t>
      </w:r>
    </w:p>
    <w:p>
      <w:r>
        <w:rPr>
          <w:b/>
        </w:rPr>
        <w:t>E. 3</w:t>
      </w:r>
    </w:p>
    <w:p>
      <w:r>
        <w:t>Le litige porte sur le calcul du droit de la recourante à une PCFam, en particulier la prise en compte d’une pension alimentaire hypothétique de CHF 8'076.- pour la période du 1er février 2017 au 28 février 2019, étant constaté que l’intimé a indiqué qu’il rendra une nouvelle décision portant sur la période débutant le 1er mars 2019, sans prise en compte d’une pension alimentaire hypothétique.</w:t>
      </w:r>
    </w:p>
    <w:p>
      <w:r>
        <w:rPr>
          <w:b/>
        </w:rPr>
        <w:t>E. 4</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La LPC n’empêche pas les cantons de développer leurs propres prestations sociales. Son art. 2 al. 2 phr. 1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w:t>
      </w:r>
    </w:p>
    <w:p>
      <w:r>
        <w:t>A/1408/2018 - 8/12 - invalidité (art. 1 al. 1 et 2 à 36 LPCC) – et d’autre part les familles avec enfant(s) – bénéficiaires pouvant le cas échéant prétendre au versement de PCFam (art. 1 al. 2 et 36A à 36I LPCC ; ATAS/994/2014 du 9 septembre 2014 ; ATAS/955/2014 du 25 août 2014). c. 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w:t>
      </w:r>
    </w:p>
    <w:p>
      <w:r>
        <w:rPr>
          <w:b/>
        </w:rPr>
        <w:t>E. 5</w:t>
      </w:r>
    </w:p>
    <w:p>
      <w:r>
        <w:t>a. Les PCFam ont été introduites dans la législation genevoise par une loi 10600 du 11 février 2011 modifiant la LPCC, dès le 1er novembre 2012. L'exposé des motifs du projet de loi considéré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 b. La prise en compte de revenus potentiels pour déterminer le droit aux PCFam est prévue dans plusieurs situations, dans le but d’inciter les requérants et bénéficiaires de PCFam à faire usage de leurs possibilités de se procurer des revenus et de conférer à ces prestations un caractère subsidiaire (cf. art. 36E al. 2 et 3 LPCC lorsque les adultes composant le groupe familial n’exercent une activité lucrative qu’à temps partiel ou que l’un d’eux n’en exerce pas). Cela n’est d’ailleurs pas propre aux seules PCFam. Selon l’art. 11 LPC, auquel l’art. 36E al. 1 LPCC renvoie pour le calcul du revenu déterminant, les ressources et parts de fortune dont un ayant droit s’est dessaisi sont compris dans les revenus déterminants (art. 11 al. 1 let. g LPC). Aussi l’art. 19 al. 1 RPCFam prévoit-il que lorsqu'un ayant droit ou un membre du groupe familial renonce à des éléments de revenus ou renonce à faire valoir un droit à un revenu, il est tenu compte d'un revenu hypothétique, conformément à l'art. 11 al. 1 let. g LPC. c.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w:t>
      </w:r>
    </w:p>
    <w:p>
      <w:r>
        <w:t>A/1408/2018 - 9/12 - législation cantonale en matière d'avance et de recouvrement des pensions alimentaires.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SCARPA. Dans ces cas, le calcul de sa prestation complémentaire familiale prendra en compte une pension hypothétique de CHF 673.- par mois et par enfant et de CHF 833.- par mois pour le conjoint. Cette disposition ne sera bien entendu pas applicable lorsque le créancier d'une pension alimentaire est dans l'impossibilité de la réclamer (par exemple lorsque le débiteur est parti pour une destination inconnue) » (MGC 2009-2010 III A 2852). d. Selon la jurisprudence fédérale relative à la prise en compte des pensions alimentaires dues à des assurés requérant des prestations complémentaires,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w:t>
      </w:r>
    </w:p>
    <w:p>
      <w:r>
        <w:t>A/1408/2018 - 10/12 -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p. 208). e. Selon la jurisprudence de la chambre de céans, une personne qui n'a pas entrepris, à la naissance de l'enfant, de démarches en vue de faire signer au père de l'enfant commun un engagement de payer une pension alimentaire ou de la réclamer par la voie judiciaire, renonce à faire valoir un droit à un revenu au sens de l'art. 19 al. 1 RPCFam, de sorte qu'un revenu hypothétique doit être pris en compte dans le calcul du droit aux prestations complémentaires familiales. Cette renonciation déploie ses effets au-delà du jour où le père de l'enfant quitte la Suisse pour s'installer à un lieu inconnu à l'étranger et ne donne plus de signes de vie, de sorte que les conséquences de l'inaction de la mère en temps utile lui sont durablement opposables, nonobstant ses efforts, au moment de la procédure, de retrouver le père (ATAS/58/2016 consid. 5).</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l’occurrence, l’intimé a pris en compte une pension alimentaire potentielle à titre de revenu déterminant pour la période litigieuse du 1er février 2017 au 28 février 2019. La recourante admet que depuis sa séparation, le père de l’enfant ne lui a pas versé la pension alimentaire convenue (convention du 11 juillet 2014) et qu’elle n’a entrepris une démarche judiciaire que le 30 mars 2019 pour contraindre celui-ci au paiement (procès-verbal de comparution personnelle du 3 décembre 2018 et courrier de la recourante du 8 avril 2019). Elle fait cependant valoir, d’une part, qu’elle ne connaissait pas l’adresse en France du père de l’enfant, lequel s’y était installé fin 2014, d’autre part, que son psychiatre traitant lui avait conseillé de cesser tout contact avec ce dernier. b. S’agissant de l’impossibilité pour la recourante de rechercher le père de l’enfant, force est de constater, avec l’intimé, que la recourante n’a pas persévéré dans ses démarches afin de retrouver l’adresse de ce dernier, alors même qu’elle était en possession d’un numéro de téléphone (portable français) et en contact avec sa belle- sœur, laquelle lui avait déclaré vivre avec le père de l’enfant. Des éléments transmis</w:t>
      </w:r>
    </w:p>
    <w:p>
      <w:r>
        <w:t>A/1408/2018 - 11/12 - par le fils de la recourante, il apparait aussi que son père travaillait pour une entreprise du bâtiment. Il n’est ainsi pas établi, au degré de la vraisemblance prépondérante, que le père de l’enfant était dans une situation financière telle qu’une pension alimentaire n’aurait pas été exigible de sa part et que toute démarche judiciaire aurait été vaine. c. S’agissant de l’impossibilité pour la recourante de s’engager dans des démarches judiciaires à l’encontre du père de l’enfant, en raison de son affection psychique, elle est en revanche établie, au vu de l’attestation du Dr I_____ du 15 janvier 2019, lequel a expliqué qu’en raison de son état dépressif sévère, la recourante n’était pas en mesure d’effectuer de démarches judiciaires à l’encontre de son ex-compagnon dans le but d’obtenir le paiement de la pension alimentaire ; il a précisé que la communication problématique avec ce dernier péjorait la santé psychique de la recourante et qu’il avait discuté avec la recourante, dès le début de sa prise en charge, le 31 juillet 2018, du fait qu’il était mieux d’éviter de communiquer avec le père de l’enfant. Cet avis médical corrobore les déclarations de la recourante selon lesquelles son psychiatre lui avait conseillé d’éviter tout contact avec le père de l’enfant, lequel lui parlait mal (procès-verbal de comparution personnelle du 3 décembre 2018). Au vu de ce qui précède, il est établi, au degré de la vraisemblance prépondérante, que la recourante, gravement affectée dans sa santé, présentant un état dépressif sévère, n’était pas en mesure d’entreprendre de démarches judiciaires vis-à-vis de son ex-conjoint, celles-ci étant de nature à péjorer encore son état de santé psychique. Dans ces conditions, il ne se justifie pas de prendre en compte une pension alimentaire potentielle dans le revenu déterminant de la recourante. En revanche, comme soulevé par l’intimé, la prise en charge par le psychiatre traitant n’ayant débuté que le 31 juillet 2018, les constatations attestées par celui-ci ne peuvent être prises en compte qu’à partir de cette date, de sorte que la pension alimentaire potentielle sera maintenue pour la période du 1er février 2017 au 30 juillet 2018 et supprimée pour la période du 31 juillet 2018 au 28 février 2019.</w:t>
      </w:r>
    </w:p>
    <w:p>
      <w:r>
        <w:rPr>
          <w:b/>
        </w:rPr>
        <w:t>E. 8</w:t>
      </w:r>
    </w:p>
    <w:p>
      <w:r>
        <w:t>Partant, le recours sera partiellement admis et la décision litigieuse annulée. La cause sera renvoyée à l’intimé pour nouvelle décision dans le sens des considérants.</w:t>
      </w:r>
    </w:p>
    <w:p>
      <w:r>
        <w:rPr>
          <w:b/>
        </w:rPr>
        <w:t>E. 9</w:t>
      </w:r>
    </w:p>
    <w:p>
      <w:r>
        <w:t>L’intimé sera condamné à verser à la recourante une indemnité de CHF 1'500.- à titre de dépens.</w:t>
      </w:r>
    </w:p>
    <w:p>
      <w:r>
        <w:t>***</w:t>
      </w:r>
    </w:p>
    <w:p>
      <w:r>
        <w:t>A/1408/2018 - 12/12 -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