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ATAS/447/2007 vom 2. Mai 2007</w:t>
      </w:r>
    </w:p>
    <w:p>
      <w:r>
        <w:t>GE Cour de justice, 2007-05-02, FR</w:t>
      </w:r>
    </w:p>
    <w:p>
      <w:r>
        <w:rPr>
          <w:b/>
        </w:rPr>
        <w:t xml:space="preserve">Quelle: </w:t>
      </w:r>
      <w:r>
        <w:t>https://mcp.opencaselaw.ch/entscheid/ge_gerichte_ATAS_447_2007</w:t>
      </w:r>
    </w:p>
    <w:p>
      <w:r>
        <w:t>FR: GE_GERICHTE ATAS/447/2007 du 2 mai 2007</w:t>
      </w:r>
    </w:p>
    <w:p>
      <w:r>
        <w:t>IT: GE_GERICHTE ATAS/447/2007 del 2 maggio 2007</w:t>
      </w:r>
    </w:p>
    <w:p>
      <w:pPr>
        <w:pStyle w:val="Heading2"/>
      </w:pPr>
      <w:r>
        <w:t>Erwägungen</w:t>
      </w:r>
    </w:p>
    <w:p>
      <w:r>
        <w:rPr>
          <w:b/>
        </w:rPr>
        <w:t>E. 9</w:t>
      </w:r>
    </w:p>
    <w:p>
      <w:r>
        <w:t>Reste à déterminer le degré d'invalidité du recourant, compte tenu d'une capacité résiduelle de 50 % dans une activité légère.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w:t>
      </w:r>
    </w:p>
    <w:p>
      <w:r>
        <w:t>A/3333/2006 - 13/14 -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dossier ne contenant pas de documents permettant d'établir avec précision le salaire que le recourant réalisait comme maçon avant son atteinte à la santé, la cause sera renvoyée à l'intimé afin qu'il instruise ce point, détermine quel est le degré d'invalidité du recourant et fixe, par une nouvelle décision, le montant de la rente correspondant au degré d'invalidité retenu.</w:t>
      </w:r>
    </w:p>
    <w:p>
      <w:r>
        <w:rPr>
          <w:b/>
        </w:rPr>
        <w:t>E. 10</w:t>
      </w:r>
    </w:p>
    <w:p>
      <w:r>
        <w:t>Au vu de ce qui précède, le recours sera partiellement admis.</w:t>
      </w:r>
    </w:p>
    <w:p>
      <w:r>
        <w:t>***</w:t>
      </w:r>
    </w:p>
    <w:p>
      <w:r>
        <w:t>A/3333/2006 - 14/14 -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