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ATAS/446/2020 vom 8. Juni 2020</w:t>
      </w:r>
    </w:p>
    <w:p>
      <w:r>
        <w:t>GE Cour de justice, 2020-06-08, FR</w:t>
      </w:r>
    </w:p>
    <w:p>
      <w:r>
        <w:rPr>
          <w:b/>
        </w:rPr>
        <w:t xml:space="preserve">Quelle: </w:t>
      </w:r>
      <w:r>
        <w:t>https://mcp.opencaselaw.ch/entscheid/ge_gerichte_ATAS_446_2020</w:t>
      </w:r>
    </w:p>
    <w:p>
      <w:r>
        <w:t>FR: GE_GERICHTE ATAS/446/2020 du 8 juin 2020</w:t>
      </w:r>
    </w:p>
    <w:p>
      <w:r>
        <w:t>IT: GE_GERICHTE ATAS/446/2020 del 8 giugno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déposé dans les forme et délai prévus par la loi, est recevable (art. 56ss LPGA).</w:t>
      </w:r>
    </w:p>
    <w:p>
      <w:r>
        <w:rPr>
          <w:b/>
        </w:rPr>
        <w:t>E. 3</w:t>
      </w:r>
    </w:p>
    <w:p>
      <w:r>
        <w:t>Le litige porte sur le lien de causalité entre les atteintes de l’épaule droite et l’accident du 3 mai 2018, plus particulièrement sur la prise en charge par l’intimée des frais de traitement y relatifs et des indemnités journalières au-delà du 3 août 2018, date à laquelle l’intimée a mis fin à ses prestations, étant constaté qu’elle a renoncé à réclamer au recourant les prestations versées jusqu’au 3 septembre 2018.</w:t>
      </w:r>
    </w:p>
    <w:p>
      <w:r>
        <w:rPr>
          <w:b/>
        </w:rPr>
        <w:t>E. 4</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Le droit aux prestations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se présente comme la condition sine qua non de celle-ci. c.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arrêt du Tribunal fédéral 8C_628/2007 du 22 octobre 2008).</w:t>
      </w:r>
    </w:p>
    <w:p>
      <w:r>
        <w:t>A/3522/2019 - 8/14 - d. Le droit à des prestations de l'assurance-accidents suppose en outre l'existence d'un lien de causalité adéquate entre l'accident et l'atteinte à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et la référence ; arrêt du Tribunal fédéral 8C_628/2007 du 22 octobre 2008), au point que le dommage puisse encore équitablement être mis à la charge de l'assurance-accidents eu égard aux objectifs poursuivis par la LAA (cf. ATF 123 V 98 consid. 3 et les références). e. Le fait que des symptômes douloureux ne se soient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f. 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5</w:t>
      </w:r>
    </w:p>
    <w:p>
      <w:r>
        <w:t>a.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b. Dans un arrêt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w:t>
      </w:r>
    </w:p>
    <w:p>
      <w:r>
        <w:t>A/3522/2019 - 9/14 -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violation est due de manière prépondérante à une usure ou maladie (consid. 9.1).</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w:t>
      </w:r>
    </w:p>
    <w:p>
      <w:r>
        <w:t>A/3522/2019 - 10/14 - d'apprécier certains types d'expertises ou de rapports médicaux (ATF 125 V 351 consid. 3b).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t>A/3522/2019 - 11/14 -</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l’occurrence, il n’est pas contesté que la chute du recourant d’un tracteur le 3 mai 2018 est un accident au sens de l’art. 4 LPGA. Dans cette hypothèse, il faut analyser si l’assureur-accident doit prendre en charge les suites de la lésion en cause sur la base de l’art. 6 al. 1 LAA (arrêt du Tribunal fédéral 8C_169/2019 du 10 mars 2020 consid. 5.2). Contrairement à ce qu’affirme l’intimée, les rapports de ses médecins-conseils ne peuvent se voir reconnaître valeur probante s’agissant de l’existence du statu quo sine au 3 août 2018.</w:t>
      </w:r>
    </w:p>
    <w:p>
      <w:r>
        <w:t>A/3522/2019 - 12/14 - Tout d’abord, des éléments concrets permettent de douter du bien-fondé du rapport établi par le Dr I______ le 23 juillet 2019. En effet, celui-ci a retenu qu’à la suite de sa chute, le recourant n’avait pas présenté d’impotence fonctionnelle ou de pseudo- paralysie comme on le constatait habituellement en cas de rupture aigüe de la coiffe des rotateurs. On ne disposait pas des déclarations personnelles du recourant à ce sujet. Or, dans le questionnaire du 17 octobre 2018, le recourant a rapporté qu’il ne pouvait plus bouger son bras droit après sa chute, ce qui constitue manifestement la description d’une pseudo-paralysie et d’une impotence fonctionnelle. Au surplus, les déclarations du recourant sont bien antérieures au rapport du Dr I______, de sorte qu’il n’y a pas de risque qu’elles aient été orientées par celui-ci. Elles peuvent donc être retenues comme probantes, au regard de la fiabilité reconnue aux déclarations de première heure (ATF 121 V 45). Il apparaît dès lors que les conclusions du Dr I______ ne sont pas fondées sur l’entièreté du dossier du recourant et doivent, par conséquent, être écartées. Il en est de même du rapport du Dr G______ du 9 janvier 2019 ; selon celui-ci, une chute sur le bras droit en avant était inappropriée pour solliciter un tendon de la coiffe des rotateurs au-delà de son point de rupture, même d’une partie de ses fibres ; l’assuré présentait déjà un état dégénératif dont la symptomatologie aurait pu débuter soit dans la dynamique de la lésion dégénérative elle-même, soit en réponse à un événement ordinaire ou extraordinaire de la vie tel qu’un effort brusque ou une contusion bénigne. Or, les explications du Dr G______ concernant le mécanisme accidentel n’emportent pas la conviction de la chambre de céans. Si, comme l’admet le Dr G______, une chute en avant sur le bras est propre à causer à tous le moins une contusion suivie d’une limitation fonctionnelle de l’épaule, il n’explique pas de façon convaincante pourquoi une telle chute ne serait pas propre à rompre le tendon sous-scapulaire et sus-épineux. Par ailleurs, comme le relève le Dr I______, il est connu qu’après une lésion d’un tendon, les autres tendons peuvent se rompre secondairement par hyper sollicitation ce qui explique que dans le rapport opératoire du Dr E______, il est également fait état d’une lésion de la partie supérieure du tendon sous-épineux ainsi que d’une instabilité consécutive avec une lésion partielle du long chef du biceps. Le Dr G______ fait certes état que l’intervention chirurgicale a dû être complétée par une acromioplastie ainsi que par une résection de la clavicule distale en raison d’un conflit sous-acromial chronique et d’une arthrose acromio-claviculaire ; il s’agissait là de lésions dégénératives. Toutefois, cela ne constitue que deux des sept diagnostics que le Dr E______ a posé dans son rapport opératoire. Le Dr G______ n’apporte pas d’explication probante pour la majorité des lésions observées lors de l’opération de l’épaule du 5 septembre 2019. Dès lors, on peut retenir que les cinq autres lésions constatées sont manifestement d’origine traumatique. En effet, les deux diagnostics dégénératifs que met en exergue le Dr G______ dans son rapport démontrent tout au plus une origine dégénérative partielle des lésions de l’assuré ; cela ne suffit pas à exclure l’existence d’un lien de causalité naturelle car il n'est pas nécessaire que l'accident soit la cause unique ou immédiate de l'atteinte à la santé pour qu’on puisse admettre</w:t>
      </w:r>
    </w:p>
    <w:p>
      <w:r>
        <w:t>A/3522/2019 - 13/14 - l’existence d’un lien de causalité. Il suffit que l’accident, associé d’autres facteurs, ait provoqué l’atteinte à la santé. Le Dr E______ considère, quant à lui, concernant l’action vulnérante, qu’un mouvement en rotation externe subite et violente et la tentative d’y résister en rotation interne forcée, l’assuré ayant voulu retenir sa chute, étaient bien sûr propres à déchirer aussi le tendon sous-scapulaire. L’arthro-IRM du 18 juillet 2018 confirmait une rupture transfixiante du tendon sus-épineux sans amyotrophie et le mouvement effectué par le recourant lors de sa chute était tout à fait typique pour une telle rupture. Dans le même sens, le Dr H______ a constaté que l’IRM du 19 juillet 2018 avait révélé une lésion de SLAP II, ce qui constituait une lésion traumatique, et qu’il n’y avait pas d’amyotrophie. Partant, on doit admettre, au degré de la vraisemblance prépondérante, que l’accident du 3 mai 2018 ne s’est pas contenté de déclencher un processus qui serait de toute façon survenu sans cet événement mais qu’il a décompensé de manière déterminante une partie des lésions dégénératives préexistantes, et que les lésions observées lors de l’opération du 5 septembre 2018 ne se seraient pas produites en son absence et ont perduré au-delà du 3 août 2018. Au vu de ce qui précède, il convient de se rallier aux avis des Drs H______ et E______, reconnus comme probants, concernant l’existence d’un lien de causalité entre l’accident du 3 mai 2018 et les lésions de l’épaule droite de l’assuré, également postérieurement au 3 août 2018, ceux des Drs G______ et I______ devant être écartés.</w:t>
      </w:r>
    </w:p>
    <w:p>
      <w:r>
        <w:rPr>
          <w:b/>
        </w:rPr>
        <w:t>E. 10</w:t>
      </w:r>
    </w:p>
    <w:p>
      <w:r>
        <w:t>Le recours sera admis et la décision sur opposition de l’intimée du 21 août 2019 sera annulée. L’intimée sera condamnée, en tant que de besoin, à prendre en charge, au-delà du 3 août 2018, les suites de l’accident du 3 mai 2018.</w:t>
      </w:r>
    </w:p>
    <w:p>
      <w:r>
        <w:rPr>
          <w:b/>
        </w:rPr>
        <w:t>E. 11</w:t>
      </w:r>
    </w:p>
    <w:p>
      <w:r>
        <w:t>Le recourant, qui obtient gain de cause, a droit à des dépens conformément à l’art. 61 let. g LPGA. Ceux-ci doivent être fixés en fonction de l'importance et de la difficulté du litige, ainsi que d'après le travail et le temps que le mandataire a dû y consacrer (arrêt du Tribunal fédéral des assurances I 699/04 du 23 janvier 2006 consid. 2). En l’occurrence, les dépens seront fixés à CHF 1’500.-. Pour le surplus, la procédure est gratuite (art. 61 let. a LPGA).</w:t>
      </w:r>
    </w:p>
    <w:p>
      <w:r>
        <w:t>A/3522/2019 - 14/14 -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