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ATAS/446/2015 vom 16. Juni 2015</w:t>
      </w:r>
    </w:p>
    <w:p>
      <w:r>
        <w:t>GE Cour de justice, 2015-06-16, FR</w:t>
      </w:r>
    </w:p>
    <w:p>
      <w:r>
        <w:rPr>
          <w:b/>
        </w:rPr>
        <w:t xml:space="preserve">Quelle: </w:t>
      </w:r>
      <w:r>
        <w:t>https://mcp.opencaselaw.ch/entscheid/ge_gerichte_ATAS_446_2015</w:t>
      </w:r>
    </w:p>
    <w:p>
      <w:r>
        <w:t>FR: GE_GERICHTE ATAS/446/2015 du 16 juin 2015</w:t>
      </w:r>
    </w:p>
    <w:p>
      <w:r>
        <w:t>IT: GE_GERICHTE ATAS/446/2015 del 16 giugno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forme et délai prévus par la loi (art. 56ss LPGA), le présent recours est recevable.</w:t>
      </w:r>
    </w:p>
    <w:p>
      <w:r>
        <w:rPr>
          <w:b/>
        </w:rPr>
        <w:t>E. 3</w:t>
      </w:r>
    </w:p>
    <w:p>
      <w:r>
        <w:t>Les parties concluent à l'annulation de la décision du 27 février 2015, au motif qu'elle se fonde sur les décisions du 18 juin 2014, elles-mêmes annulées le 11 novembre 2014. Il y a en effet lieu de constater que c'est par erreur qu'elle a été notifiée à l'assurée. Aussi le recours est-il admis et la décision litigieuse annulée.</w:t>
      </w:r>
    </w:p>
    <w:p>
      <w:r>
        <w:rPr>
          <w:b/>
        </w:rPr>
        <w:t>E. 4</w:t>
      </w:r>
    </w:p>
    <w:p>
      <w:r>
        <w:t>Reste la question des dépens.</w:t>
      </w:r>
    </w:p>
    <w:p>
      <w:r>
        <w:rPr>
          <w:b/>
        </w:rPr>
        <w:t>E. 5</w:t>
      </w:r>
    </w:p>
    <w:p>
      <w:r>
        <w:t>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1er mars 1990 en la cause C.P.). Le recourant a droit au remboursement des dépens en vertu de la législation fédérale, même lorsque la procédure est sans objet, pour autant que les chances de succès du procès le justifient (ATF 110 V 57, consid. 2a ; RCC 1989, p. 318, consid. 2b). En règle ordinaire, les honoraires d’avocat sont fixés en fonction de l’importance et de la difficulté du litige, ainsi que d’après le travail et le temps que le mandataire a</w:t>
      </w:r>
    </w:p>
    <w:p>
      <w:r>
        <w:t>A/1254/2015 - 4/5 - dû y consacrer (cf. GRISEL, Traité de droit administratif, p. 848). Pour apprécier l’importance du travail et du temps consacré à la cause, il faut tenir compte du fait que le procès en matière d’assurance sociale est gouverné par la maxime inquisitoire, ce qui, dans de nombreux cas, est de nature à faciliter la tâche du mandataire. L’activité de celui-ci ne doit être prise en considération que dans la mesure où elle s’inscrit raisonnablement dans le cadre de l’accomplissement de sa tâche, à l’exclusion de démarches inutiles ou superflues. De plus, les démarches que le mandataire a entreprises avant l’ouverture de la procédure n’entrent pas en ligne de compte pour déterminer le montant des honoraires (ATF 111 V 49 consid. 4a). On tiendra compte, dans ce contexte, des conséquences économiques qu’aura pour l’intéressé l’issue de la procédure (ATF 114 V 87 consid. 4, ATFA non publié du 23 janvier 2006, I 699/04, consid. 2).</w:t>
      </w:r>
    </w:p>
    <w:p>
      <w:r>
        <w:rPr>
          <w:b/>
        </w:rPr>
        <w:t>E. 6</w:t>
      </w:r>
    </w:p>
    <w:p>
      <w:r>
        <w:t>L’assurée fait valoir que c’est la seconde fois que l’OAI agit de la même manière dans son dossier. En l'espèce, les dépens seront fixés à CHF 800.-, étant rappelé que dans son arrêt du 25 novembre 2014, la chambre de céans avait déjà alloué des dépens à l’assurée.</w:t>
      </w:r>
    </w:p>
    <w:p>
      <w:r>
        <w:t>A/1254/2015 - 5/5 -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