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ATAS/445/2021 vom 11. Mai 2021</w:t>
      </w:r>
    </w:p>
    <w:p>
      <w:r>
        <w:t>GE Cour de justice, 2021-05-11, FR</w:t>
      </w:r>
    </w:p>
    <w:p>
      <w:r>
        <w:rPr>
          <w:b/>
        </w:rPr>
        <w:t xml:space="preserve">Quelle: </w:t>
      </w:r>
      <w:r>
        <w:t>https://mcp.opencaselaw.ch/entscheid/ge_gerichte_ATAS_445_2021</w:t>
      </w:r>
    </w:p>
    <w:p>
      <w:r>
        <w:t>FR: GE_GERICHTE ATAS/445/2021 du 11 mai 2021</w:t>
      </w:r>
    </w:p>
    <w:p>
      <w:r>
        <w:t>IT: GE_GERICHTE ATAS/445/2021 del 11 maggio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Les atteintes et les plaintes de la personne expertisée correspondent-elles à un substrat organique objectivable ?</w:t>
      </w:r>
    </w:p>
    <w:p>
      <w:r>
        <w:rPr>
          <w:b/>
        </w:rPr>
        <w:t>E. 4.5</w:t>
      </w:r>
    </w:p>
    <w:p>
      <w:r>
        <w:t>L’état de santé de la personne expertisée s’est-il amélioré/détérioré depuis respectivement les mois de mai 2019 et novembre 2019 ?</w:t>
      </w:r>
    </w:p>
    <w:p>
      <w:r>
        <w:rPr>
          <w:b/>
        </w:rPr>
        <w:t>E. 4.6</w:t>
      </w:r>
    </w:p>
    <w:p>
      <w:r>
        <w:t>Dans quelle mesure les atteintes diagnostiquées limitent-elles les fonctions nécessaires à la gestion du quotidien ? (N’inclure que les déficits fonctionnels</w:t>
      </w:r>
    </w:p>
    <w:p>
      <w:r>
        <w:t>A/3897/2019 - 21/22 - émanant des observations qui ont été déterminantes pour le diagnostic de l’atteinte à la santé, en confirmant ou en rejetant des limitations fonctionnelles alléguées par la personne expertisée).</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A/3897/2019 - 5/22 - celle-ci n’est pas objectivement surmontable (al. 2 en vigueur dès le 1er janvier 2008).</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Capacité de travail</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6.1</w:t>
      </w:r>
    </w:p>
    <w:p>
      <w:r>
        <w:t>Dater la survenance de l’incapacité de travail durable dans l’activité habituelle pour chaque diagnostic, indiquer son taux pour chaque diagnostic et détailler l’évolution de ce taux pour chaque diagnostic.</w:t>
      </w:r>
    </w:p>
    <w:p>
      <w:r>
        <w:rPr>
          <w:b/>
        </w:rPr>
        <w:t>E. 6.2</w:t>
      </w:r>
    </w:p>
    <w:p>
      <w:r>
        <w:t>La personne expertisée est-elle capable d’exercer son activité lucrative habituelle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La personne expertisée est-elle capable d’exercer une activité lucrative adaptée à ses limitations fonctionnelles ? Déterminer à quelles exigences l’activité adaptée devraient répondre.</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À quel taux ? Depuis quelle date ?</w:t>
      </w:r>
    </w:p>
    <w:p>
      <w:r>
        <w:rPr>
          <w:b/>
        </w:rPr>
        <w:t>E. 6.3.3</w:t>
      </w:r>
    </w:p>
    <w:p>
      <w:r>
        <w:t>Dire s'il y a une diminution de rendement et la chiffrer.</w:t>
      </w:r>
    </w:p>
    <w:p>
      <w:r>
        <w:t>A/3897/2019 - 22/22 -</w:t>
      </w:r>
    </w:p>
    <w:p>
      <w:r>
        <w:rPr>
          <w:b/>
        </w:rPr>
        <w:t>E. 6.4</w:t>
      </w:r>
    </w:p>
    <w:p>
      <w:r>
        <w:t>Comment la capacité de travail de la personne expertisée a-t-elle évolué depuis, respectivement mai et novembre 2019 ?</w:t>
      </w:r>
    </w:p>
    <w:p>
      <w:r>
        <w:rPr>
          <w:b/>
        </w:rPr>
        <w:t>E. 6.5</w:t>
      </w:r>
    </w:p>
    <w:p>
      <w:r>
        <w:t>Des mesures médicales sont-elles nécessaires préalablement à la reprise d’une activité lucrative ? Si oui, lesquelles ?</w:t>
      </w:r>
    </w:p>
    <w:p>
      <w:r>
        <w:rPr>
          <w:b/>
        </w:rPr>
        <w:t>E. 6.6</w:t>
      </w:r>
    </w:p>
    <w:p>
      <w:r>
        <w:t>Quel est votre pronostic quant à l’exigibilité de la reprise d’une activité lucrative ? 7. Traitement</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7.1</w:t>
      </w:r>
    </w:p>
    <w:p>
      <w:r>
        <w:t>Examen du traitement suivi par la personne expertisée et analyse de son adéquation.</w:t>
      </w:r>
    </w:p>
    <w:p>
      <w:r>
        <w:rPr>
          <w:b/>
        </w:rPr>
        <w:t>E. 7.2</w:t>
      </w:r>
    </w:p>
    <w:p>
      <w:r>
        <w:t>Est-ce que la personne expertisée s’est engagée ou s’engage dans les traitements qui sont raisonnablement exigibles et possiblement efficaces dans son cas ou n’a-t-elle que peu ou pas de demande de soins ?</w:t>
      </w:r>
    </w:p>
    <w:p>
      <w:r>
        <w:rPr>
          <w:b/>
        </w:rPr>
        <w:t>E. 7.3</w:t>
      </w:r>
    </w:p>
    <w:p>
      <w:r>
        <w:t>Propositions thérapeutiques et analyse de leurs effets sur la capacité de travail de la personne expertisée. 8. Appréciation d'avis médicaux du dossier</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A/3897/2019 - 6/22 -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A/3897/2019 - 7/22 -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w:t>
      </w:r>
    </w:p>
    <w:p>
      <w:r>
        <w:t>A/3897/2019 - 8/22 - médecins traitants. Encore faut-il démontrer l'existence d'éléments pouvant jeter un doute sur la valeur probante du rapport du médecin concerné et, par conséquent, la violation du principe mentionné (arrêt du Tribunal fédéral 9C_973/2011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8.1</w:t>
      </w:r>
    </w:p>
    <w:p>
      <w:r>
        <w:t>Êtes-vous d'accord avec l'avis du Dr B______ selon rapport médical du 7 février 2019 ? En particulier avec les diagnostics posés et l'estimation d'une capacité de travail maximum de la personne expertisée de 100%, puis avec une nouvelle estimation de la capacité de travail maximum de 80% selon courrier du 20 novembre 2019 ? Si non, pourquoi ?</w:t>
      </w:r>
    </w:p>
    <w:p>
      <w:r>
        <w:rPr>
          <w:b/>
        </w:rPr>
        <w:t>E. 8.2</w:t>
      </w:r>
    </w:p>
    <w:p>
      <w:r>
        <w:t>Êtes-vous d'accord avec l'avis du Dr C______ selon rapport médical du 16 mai 2019 ? En particulier avec les diagnostics posés et l'estimation d'une capacité de travail de la personne expertisée de 100% dans une activité adaptée ? Si non, pourquoi ? 9. Quel est le pronostic ? 10. Des mesures de réadaptation professionnelle sont-elles envisageables ? 11. Faire toutes autres observations ou suggestions utiles E. Invite l’expert à déposer, dans les meilleurs délais, un rapport en trois exemplaires auprès de la chambre de céans. II. Réserve le fond ainsi que le sort des frais jusqu’à droit jugé au fond.</w:t>
      </w:r>
    </w:p>
    <w:p>
      <w:r>
        <w:t>La greffière</w:t>
      </w:r>
    </w:p>
    <w:p>
      <w:r>
        <w:t>Nathalie LOCHER</w:t>
      </w:r>
    </w:p>
    <w:p>
      <w:r>
        <w:t>Le président</w:t>
      </w:r>
    </w:p>
    <w:p>
      <w:r>
        <w:t>Philippe KNUPFER</w:t>
      </w:r>
    </w:p>
    <w:p>
      <w:r>
        <w:t>Une copie conforme du présent arrêt est notifiée aux parties le</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A/3897/2019 - 9/22 -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w:t>
      </w:r>
    </w:p>
    <w:p>
      <w:r>
        <w:t>A/3897/2019 - 10/22 - sont ainsi exclues de la définition des travaux habituels (ATF 131 V 51 consid. 5.1.2 et 5.2, précisé par l’ATF 142 V 290 consid. 7; arrêt du Tribunal fédéral 9C_432/2016 du 10 février 2017 consid. 5.1). La limitation dans le domaine lucratif doit être prise en considération de façon proportionnelle – en fonction de l'étendue de l’hypothétique taux d’activité lucrative à temps partiel (consid. ATF 142 V 290 consid. 7).</w:t>
      </w:r>
    </w:p>
    <w:p>
      <w:r>
        <w:rPr>
          <w:b/>
        </w:rPr>
        <w:t>E. 14</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w:t>
      </w:r>
    </w:p>
    <w:p>
      <w:r>
        <w:t>A/3897/2019 - 11/22 -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 l’ESS 2016, le 26 octobre 2018 (étant précisé que le tableau T1_tirage_skill_level a été corrigé le 8 novembre 2018) ; et l’ESS 2014, le 15 avril 2016. d.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t>A/3897/2019 - 12/22 -</w:t>
      </w:r>
    </w:p>
    <w:p>
      <w:r>
        <w:t>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f.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t>A/3897/2019 - 13/22 -</w:t>
      </w:r>
    </w:p>
    <w:p>
      <w:r>
        <w:t>g.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w:t>
      </w:r>
    </w:p>
    <w:p>
      <w:r>
        <w:t>h.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w:t>
      </w:r>
    </w:p>
    <w:p>
      <w:r>
        <w:t>A/3897/2019 - 14/22 -</w:t>
      </w:r>
    </w:p>
    <w:p>
      <w:r>
        <w:t>i. Selon le tableau T 18 « Salaire mensuel brut (valeur centrale) selon le taux d'occupation, la position professionnelle et le sexe » de l'ESS 2014, on constate en effet que les travailleurs occupés entre 50% et 74% perçoivent un salaire mensuel de CHF 5'714.- (calculé sur la base d'un taux d'occupation de 100%), soit un salaire moins élevé que celui versé en cas d'emploi à temps plein (taux d'occupation de 90% ou plus), lequel se monte à CHF 6'069.-. Dans la mesure où les statistiques démontrent que les travailleurs occupés entre 50% et 74% reçoivent un salaire mensuel inférieur de 5,84% à celui versé aux hommes travaillant à temps plein (taux d'occupation de 90% ou plus), il se justifie de procéder à un abattement supplémentaire pour ce motif (arrêt du Tribunal fédéral 9C_10/2019 du 29 avril 2019 consid. 5.2.2).</w:t>
      </w:r>
    </w:p>
    <w:p>
      <w:r>
        <w:t>Une unilatéralité de fait ou une restriction de la main dominante peut justifier un abattement compris entre 20% et 25% (arrêts du Tribunal fédéral 9C_363/2017 du</w:t>
      </w:r>
    </w:p>
    <w:p>
      <w:r>
        <w:rPr>
          <w:b/>
        </w:rPr>
        <w:t>E. 22</w:t>
      </w:r>
    </w:p>
    <w:p>
      <w:r>
        <w:t>juin 2018 consid. 4.3 et 9C_396/2014 du 15 avril 2015 consid. 5.2). j.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 k.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w:t>
      </w:r>
    </w:p>
    <w:p>
      <w:r>
        <w:t>A/3897/2019 - 15/22 -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t>l.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t>m. En cas de baisse de rendement, l'abattement doit être appliqué à la part du salaire statistique que l’assuré est toujours susceptible de réaliser malgré sa baisse de rendement et ne saurait en aucun cas être additionné au taux de la diminution de</w:t>
      </w:r>
    </w:p>
    <w:p>
      <w:r>
        <w:t>A/3897/2019 - 16/22 - rendement, puis il convient de déduire le résultat obtenu de ladite part salariale. La différence obtenue correspond à la perte de gain effective et donne le taux d'invalidité (arrêt du Tribunal fédéral 9C_692/2017 du 12 mars 2018 consid. 5).</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t>n.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119 V 475 consid. 2b; ATF 114 V 313 consid. 3a; arrêt du Tribunal fédéral 8C_312/2016 du 13 mars 2017 consid. 5.4.1).</w:t>
      </w:r>
    </w:p>
    <w:p>
      <w:r>
        <w:t>o. Si l'on ne peut déterminer ou évaluer sûrement les deux revenus en cause, il faut, en s'inspirant de la méthode spécifique pour personnes sans activité lucrative (art. 28a al. 2 LAI en corrélation avec les art. 27 RAI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arrêt du Tribunal fédéral 8C_312/2016, op. cit., consid. 5.4.2).</w:t>
      </w:r>
    </w:p>
    <w:p>
      <w:r>
        <w:t>p.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w:t>
      </w:r>
    </w:p>
    <w:p>
      <w:r>
        <w:t>A/3897/2019 - 17/22 -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w:t>
      </w:r>
    </w:p>
    <w:p>
      <w:r>
        <w:t>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w:t>
      </w:r>
    </w:p>
    <w:p>
      <w:r>
        <w:t>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15.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w:t>
      </w:r>
    </w:p>
    <w:p>
      <w:r>
        <w:t>A/3897/2019 - 18/22 -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 16. a.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b.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17.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w:t>
      </w:r>
    </w:p>
    <w:p>
      <w:r>
        <w:t>A/3897/2019 - 19/22 -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18. En l’espèce, l’assuré invoque, certificat médical de son médecin traitant à l’appui, une aggravation de son état de santé ayant entraîné une diminution de la capacité de travail, qui serait passée à 80%, dans une activité adaptée. L’intimé rejette cette hypothèse, invoquant, notamment, le caractère vague des explications données par le médecin traitant. Au vu de ce qui précède et du caractère rapide de l’instruction menée par l’OAI, la chambre de céans considère qu’il se justifie d’ordonner une expertise médicale qui sera confiée à un médecin rhumatologue.</w:t>
      </w:r>
    </w:p>
    <w:p>
      <w:r>
        <w:t>A/3897/2019 - 20/22 - PAR CES MOTIFS, LA CHAMBRE DES ASSURANCES SOCIALES : Statuant préparatoirement I. Ordonne une expertise médicale judiciaire de Monsieur A______.</w:t>
      </w:r>
    </w:p>
    <w:p>
      <w:r>
        <w:t>La confie au Docteur E______, rhumatologue, Centre médical de F______, à Confignon.</w:t>
      </w:r>
    </w:p>
    <w:p>
      <w:r>
        <w:t>Dit que la mission d’expertise sera la suivante : A. Prendre connaissance du dossier de la cause. B. Si nécessaire prendre tous renseignements auprès des médecins ayant traité la personne expertisée, notamment le Docteur B______ (rhumatologue) et C______ (chiropraticien). C. Examiner et entendre la personne expertisée et si nécessaire, ordonner d'autres examens. D. Charge le Dr E______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