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ATAS/445/2017 vom 26. Mai 2017</w:t>
      </w:r>
    </w:p>
    <w:p>
      <w:r>
        <w:t>GE Cour de justice, 2017-05-26, FR</w:t>
      </w:r>
    </w:p>
    <w:p>
      <w:r>
        <w:rPr>
          <w:b/>
        </w:rPr>
        <w:t xml:space="preserve">Quelle: </w:t>
      </w:r>
      <w:r>
        <w:t>https://mcp.opencaselaw.ch/entscheid/ge_gerichte_ATAS_445_2017</w:t>
      </w:r>
    </w:p>
    <w:p>
      <w:r>
        <w:t>FR: GE_GERICHTE ATAS/445/2017 du 26 mai 2017</w:t>
      </w:r>
    </w:p>
    <w:p>
      <w:r>
        <w:t>IT: GE_GERICHTE ATAS/445/2017 del 26 maggio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en l’occurrence la question de savoir si la recourante peut bénéficier d’une remise de l’obligation de restituer la somme de CHF 1'620.- afférente a la période du 1er août 2015 au 30 avril 2016. Il sied de relever cependant que la recourante se trompe manifestement quant aux motifs de la demande de restitution, en dépit des explications claires de l'intimé. Cette demande n'est aucunement liée à la présence de son petit-fils dans son logement. En tout état de cause, cet argument concerne le fondement de la demande de restitution qui ne peut plus être examiné dans le cadre de la procédure de remise de l'obligation de restituer, dès lors que la décision du 25 avril 2016 n'a pas été contestée dans le délai légal de 30 jours, si bien qu'elle est entrée en force.</w:t>
      </w:r>
    </w:p>
    <w:p>
      <w:r>
        <w:rPr>
          <w:b/>
        </w:rPr>
        <w:t>E. 4</w:t>
      </w:r>
    </w:p>
    <w:p>
      <w:r>
        <w:t>À teneur de l’art. 25 LPGA, les prestations indûment touchées doivent être restituées, la restitution ne pouvant toutefois être exigée lorsque l’intéressé était de bonne foi et qu’elle le mettrait dans une situation difficile (al. 1er).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w:t>
      </w:r>
    </w:p>
    <w:p>
      <w:r>
        <w:t>A/612/2017 - 5/6 -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5</w:t>
      </w:r>
    </w:p>
    <w:p>
      <w:r>
        <w:t>En l’espèce, il est constatée dans la décision du 25 avril 2016, qui lie la chambre de céans, que la recourante est tenue de rembourser la somme de CHF 1'620.-. Il ressort de l’avis de majoration du loyer que la recourante a transmis en avril 2016 à l’intimé que son loyer était dès le 1er août 2015 de CHF 7'164.-. Or, l’intimé avait pris en considération dans son calcul un loyer de CHF 14'004.-. Manifestement, la recourante a ainsi bénéficié d'une diminution de son loyer dès août 2015, laquelle a une incidence sur son droit aux prestations complémentaires. À cet égard, la question de savoir si son loyer annuel était de CHF 14'004.- par an avant le 1er août 2015 ou en réalité seulement de CHF 8'340.-, compte tenu d’une aide personnalisée de CHF 451.- par mois dont elle bénéficiait du moins en 2009, selon le courrier de la Ville de Genève le 19 juillet 2009, peut rester ouverte. En effet, dans les deux hypothèses, la recourante a connu un changement de sa situation économique sous la forme d'une diminution de ses dépenses pour le loyer, changement qu'elle était assurément obligée d'annoncer immédiatement. Aussi, en vertu de la jurisprudence en la matière, la bonne foi ne peut lui être reconnue. La condition de la bonne foi devant être remplie cumulativement avec celle de l'existence d'une situation financière difficile, une remise de l’obligation de restituer la somme de CHF 1'620.- doit être refusée.</w:t>
      </w:r>
    </w:p>
    <w:p>
      <w:r>
        <w:rPr>
          <w:b/>
        </w:rPr>
        <w:t>E. 6</w:t>
      </w:r>
    </w:p>
    <w:p>
      <w:r>
        <w:t>Cela étant, le recours sera rejeté.</w:t>
      </w:r>
    </w:p>
    <w:p>
      <w:r>
        <w:rPr>
          <w:b/>
        </w:rPr>
        <w:t>E. 7</w:t>
      </w:r>
    </w:p>
    <w:p>
      <w:r>
        <w:t>La procédure est gratuite.</w:t>
      </w:r>
    </w:p>
    <w:p>
      <w:r>
        <w:t>***</w:t>
      </w:r>
    </w:p>
    <w:p>
      <w:r>
        <w:t>A/612/2017 - 6/6 -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