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ATAS/445/2016 vom 6. Juni 2016</w:t>
      </w:r>
    </w:p>
    <w:p>
      <w:r>
        <w:t>GE Cour de justice, 2016-06-06, FR</w:t>
      </w:r>
    </w:p>
    <w:p>
      <w:r>
        <w:rPr>
          <w:b/>
        </w:rPr>
        <w:t xml:space="preserve">Quelle: </w:t>
      </w:r>
      <w:r>
        <w:t>https://mcp.opencaselaw.ch/entscheid/ge_gerichte_ATAS_445_2016</w:t>
      </w:r>
    </w:p>
    <w:p>
      <w:r>
        <w:t>FR: GE_GERICHTE ATAS/445/2016 du 6 juin 2016</w:t>
      </w:r>
    </w:p>
    <w:p>
      <w:r>
        <w:t>IT: GE_GERICHTE ATAS/445/2016 del 6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(art. 56ss et 38 LPGA).</w:t>
      </w:r>
    </w:p>
    <w:p>
      <w:r>
        <w:rPr>
          <w:b/>
        </w:rPr>
        <w:t>E. 3</w:t>
      </w:r>
    </w:p>
    <w:p>
      <w:r>
        <w:t>Le litige porte sur le point de savoir si l’intimé est fondé à refuser le droit du recourant à une rente complémentaire pour enfant de l’assurance-invalidité, en raison de sa formation en médecine chinoise.</w:t>
      </w:r>
    </w:p>
    <w:p>
      <w:r>
        <w:rPr>
          <w:b/>
        </w:rPr>
        <w:t>E. 4</w:t>
      </w:r>
    </w:p>
    <w:p>
      <w:r>
        <w:t>La nature de la requête du recourant, soit une nouvelle demande plutôt qu'une demande de "réexamen" selon la lettre de sa requête n'est pas litigieuse: les parties conviennent toutes deux qu'il s'agissait en effet d'une nouvelle demande.</w:t>
      </w:r>
    </w:p>
    <w:p>
      <w:r>
        <w:rPr>
          <w:b/>
        </w:rPr>
        <w:t>E. 5</w:t>
      </w:r>
    </w:p>
    <w:p>
      <w:r>
        <w:t>a. A teneur de l'art. 35 al. 1 LAI, les hommes et les femmes qui peuvent prétendre à une rente d’invalidité ont droit à une rente pour chacun des enfants qui, au décès de ces personnes, auraient droit à la rente d’orphelin de l’assurance-vieillesse et survivants. Il s'agit d'un renvoi à l'art. 25 LAVS, qui prévoit notamment que le droit à une rente d’orphelin prend naissance le premier jour du mois suivant le décès du père ou de la mère. Aux termes de cette disposition, ce droit à la rente s’éteint au 18ème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faculté, laissant à la jurisprudence le soin de la concrétiser et à l'administration d'établir des directives. L'Office fédéral des assurances sociales a commenté ces dispositions dans les Directives DR (n° 3356ss, dans leur teneur en vigueur jusqu'au 31 décembre 2010). C'est le lieu de rappeler qu'en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w:t>
      </w:r>
    </w:p>
    <w:p>
      <w:r>
        <w:t>A/2218/2014 - 19/29 -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b. Au 1er janvier 2011, sont entrés en vigueur les art. 49bis et 49ter RAVS. À cette date, les Directives DR ont également été révisées (Arrêt du Tribunal administratif fédéral C-5937/2013 du 3 mars 2015 consid. 2.2 et 2.3).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Depuis le 1er janvier 2015, le montant maximal de la rente de vieillesse complète correspond au double du montant minimal de la rente vieillesse complète (CHF 1'175.-), soit CHF 2'350.- (art. 34 al. 3 et 5 LAVS). Il était de CHF 2'320.- en 2012 et de CHF 2'340.- en 2013 et 2014.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En rapport avec ces dispositions, le Conseil fédéral relève que face à la diversification des filières de formation et à la recrudescence des cas où il est légitime de se demander si l’on se trouve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w:t>
      </w:r>
    </w:p>
    <w:p>
      <w:r>
        <w:t>A/2218/2014 - 20/29 -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réalisent un revenu supérieur à CHF 27'360.- par année (CHF 2'280.-par mois) (Commentaire des modifications du RAVS au 1er janvier 2011, ad. art. 49bis et art. 49ter, Remarques préliminaires, p. 7). S’agissant de la notion de formation de l’art. 49bis al. 1 RAVS, le Conseil fédéral précise qu’avec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1er janvier 2011, ad. art. 49bis al. 1, p. 7). En ce qui concerne l’art. 49bis al. 3 RAVS en particulier, le Conseil fédéral considère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La limite de revenu (rente AVS maximale) correspond ici à celle de l’allocation de formation de l’art. 1, al. 2 de l’ordonnance du 31 octobre 2007 sur les allocations familiales (OAFam - RS 836.21) (Commentaire des modifications du RAVS au 1er janvier 2011, ad. art. 49bis al. 3, p. 8). Suite à cette modification législative, les Directives DR ont été adaptées. Elles prévoient notamment que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 3359). Le temps effectif dévolu à la formation ne peut partiellement être déterminé que sur la base d’indices et doit être</w:t>
      </w:r>
    </w:p>
    <w:p>
      <w:r>
        <w:t>A/2218/2014 - 21/29 -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(n° 3360). Si la formation porte sur plus d’une année civile, le revenu à prendre en compte est le revenu de chaque année civile considérée séparément (n° 3367). Le ch.3358 DR précise aussi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Dans un arrêt récent, le Tribunal fédéral a relevé que l’art. 49bis RAVS ne se contentait pas de définir le contenu de la formation, mais fixait également à son troisième alinéa une limite de revenu lorsque l’enfant déployait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w:t>
      </w:r>
    </w:p>
    <w:p>
      <w:r>
        <w:rPr>
          <w:b/>
        </w:rPr>
        <w:t>E. 6</w:t>
      </w:r>
    </w:p>
    <w:p>
      <w:r>
        <w:t>Selon la jurisprudence en principe les règles applicables sont celles en vigueur au moment où les faits juridiquement déterminants se sont produits;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 (8C_ 710/2013 ; 9C_157/2012; ATF 136 V 24 consid. 4.3 p. 27, 130 V 445 consid. 1.2.1 p. 447).</w:t>
      </w:r>
    </w:p>
    <w:p>
      <w:r>
        <w:t>A/2218/2014 - 22/29 -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et ATF 125 V 195 consid. 2 ainsi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 C'est notamment dans ce contexte que la chambre de céans a invité les parties à se déterminer sur la nature de la demande du 19 décembre 2013.</w:t>
      </w:r>
    </w:p>
    <w:p>
      <w:r>
        <w:rPr>
          <w:b/>
        </w:rPr>
        <w:t>E. 9</w:t>
      </w:r>
    </w:p>
    <w:p>
      <w:r>
        <w:t>Dans le cas d'espèce, il est constant que la décision du 11 juillet 2014, objet du recours, refusait au recourant l'octroi d'une rente complémentaire pour enfant suivant une formation au-delà de l'âge de 18 ans, pour sa fille B______, sur la base d'une nouvelle demande de prestations présentée le 19 décembre 2013. Au moment de la requête, la jeune fille suivait, depuis l'automne 2011, une formation de médecine chinoise auprès de E______ à Genève, dont le cycle de base dure 4 ans, chaque période scolaire courant de septembre à juillet. Au moment de la demande de rente, elle suivait sa troisième année de formation de base, qu'elle terminait d'ailleurs au moment où a été rendue la décision entreprise étant, selon une attestation de son école, en cours de formation d'un Master Class Shangan Lun, (branche de la médecine chinoise destinée à traiter les blessures dues au froid) en parallèle à son cycle de base, depuis le 1er mars 2014, d'une durée de 15 mois, l'ensemble de sa formation, de base et de Master devant se terminer au début de l'été 2015.</w:t>
      </w:r>
    </w:p>
    <w:p>
      <w:r>
        <w:t>A/2218/2014 - 23/29 -</w:t>
      </w:r>
    </w:p>
    <w:p>
      <w:r>
        <w:rPr>
          <w:b/>
        </w:rPr>
        <w:t>E. 10</w:t>
      </w:r>
    </w:p>
    <w:p>
      <w:r>
        <w:t>Les pièces produites et les enquêtes ont permis de déterminer que la formation suivie par la fille du recourant, auprès de E______, consacrée à l'acquisition de connaissances dans le domaine de la médecine traditionnelle chinoise, en vue de lui permettre de pratiquer l'acupuncture, doit être considérée comme une formation régulière reconnue de jure ou de facto, et qu'elle répond en particulier aux exigences de durée, de temps consacré par l'étudiante à l’accomplissement de celle- ci, et enfin qu'elle permettrait à B______ d'exercer une activité professionnelle. a. M. F______ a décrit de façon précise les principales disciplines de la formation de base qui concernent la théorie fondamentale de la médecine chinoise, l'acupuncture, la pharmacologie chinoise (ou phytothérapie chinoise) et l'étude du Tui-Na (thérapie manuelle chinoise-massages). À l'intérieur de ces grands domaines, sont incluses la théorie du diagnostic, l'étiologie et la pathologie, essentiellement. Quant aux plans d'enseignement, la théorie fondamentale est enseignée au long des 4 années. Il a décrit le plan d'études sur la base du programme d'enseignement pour chaque année, L'ensemble des examens se déroule en fin de 4e année. Il a indiqué qu'il n'y a pas d'examens intermédiaires. Il contrôle le niveau des étudiants, en assistant personnellement aux cours, sans évaluation individuelle, mais uniquement par rapport au niveau du groupe. Les cours ont lieu un week-end par mois. Pendant ce week-end, les 4 années suivent le cours en parallèle. On compte huit week-ends par année plus un grand séminaire de cinq jours, qui se déroule en général en juillet. C'est d'ailleurs pendant le dernier séminaire que, pour les 4e année, se déroule la majorité des examens. Il a confirmé les attestations qu'il a signées, décrivant en particulier le nombre d'heures de cours, et le nombre nécessaire d'heures de travail personnel complémentaire. Il a notamment expliqué les raisons qui justifiaient un tel nombre d'heures, soit l'assimilation des volumineux supports de cours, à étudier avant et après les cours qui se déroulent à raison d'un week-end par mois - le samedi et le dimanche toute la journée, et auquel s'ajoute encore un séminaire de 5 jours au mois de juillet. Il a également décrit en quoi consiste le stage pratique exigé des étudiants, qui se déroule au cabinet du thérapeute, l'étudiant assistant aux consultations du thérapeute. Pour B______, ces stages pratiques se déroulent à son cabinet. Il a confirmé qu'il s'agit d'une élève très assidue, qui est pratiquement l'une des seules, parmi les étudiants, à n'avoir jamais manqué un cours. Il a également confirmé que l'étudiant, à l'issue de la formation dans cette école, et une fois réussis les examens, était pratiquement en mesure d'ouvrir un cabinet de médecine chinoise, en s'établissant en tant qu'indépendant. Pour recevoir l'agrément de l'ASCA, à titre individuel, l'intéressé devait encore compléter sa formation à raison de 300 heures d'anatomie « cycle 3 » dans une école agréée. De son côté, la jeune fille a confirmé la manière dont se déroulent ses études, et illustré de façon concrète en ce qui la concerne, la manière dont se répartissent les heures qu'elle consacre à sa formation, corroborant le descriptif théorique du directeur de l'école. Et la chambre de céans constate à cet égard que les explications</w:t>
      </w:r>
    </w:p>
    <w:p>
      <w:r>
        <w:t>A/2218/2014 - 24/29 - de l'étudiante sont cohérentes par rapport à celles données par le directeur de l'école, et en particulier qu'elle ne paraît pas avoir exagéré dans la description du temps qu'elle consacre à ses études en dehors des cours. Elle s'est au contraire exprimé de manière franche, expliquant notamment que, tout au début, lorsque sa mère lui avait proposé de commencer cette formation, - dans un contexte où elle sortait d'une mauvaise expérience avec D______, qui l'avait beaucoup éprouvée -, elle avait accepté de s'inscrire, mais au début cela ne lui plaisait guère; qu'en revanche « maintenant cela (lui) plaît beaucoup». Dans le même sens, interrogée sur la question de savoir si son idée, en prenant des cours de chinois, était en lien avec sa formation en médecine chinoise, elle a spontanément indiqué que, à l'époque, c'était son ex-copain qui suivait ces cours et qui l’avait « embarquée là- dedans ». En revanche, elle avait ensuite continué, ce qui lui est très utile dans la perspective de partir en Chine pendant quelques mois pour des stages pratiques à la fin de sa formation. Ainsi la chambre de céans arrive à la conclusion, au degré de la vraisemblance prépondérante, que la formation régulièrement suivie par la jeune fille, depuis l'automne 2011, remplit très largement l'exigence de 20 heures d'activité hebdomadaire minimale consacrée à cette formation. B______ a confirmé d'ailleurs qu'elle s'était à l'époque inscrite pour entreprendre une petite activité lucrative, de quelques heures par semaine, en précisant que cet engagement n'avait guère duré que 2 semaines, car l'entreprise qui lui avait proposé cette activité de promotion de cigarillos, avec une amie, avait renoncé, vu le peu de succès rencontré. Il est ainsi démontré au degré de la vraisemblance prépondérante que l'enfant a consacré l'essentiel de son temps à sa formation. b. Les attestations produites par cette école confirment que E______ est agréé auprès de la fondation ASCA, tant pour le cycle de base de l'enseignement de la médecine traditionnelle chinoise que pour la formation complémentaire de Master Class Shangan Lun, entreprise par la jeune fille, en parallèle à son cycle de base, dès le 1er mars 2014. Cet agrément est confirmé non seulement par sa mention sur le site Internet de l'école, à l'adresse http://www.E______.org/ls-faq.html , qui renvoie d'ailleurs au site de l'ASCA (http://asca.ch/), mais E______ figure encore également sur la liste des écoles agréées par cette fondation, à l'adresse Internet http://www.asca.ch/Schools.aspx. Quant à la fondation ASCA, ses buts principaux sont l'étude et la promotion des médecines complémentaires, l'agrégation des thérapeutes non-médecins, l'accréditation des écoles de formation, la diffusion d'informations et de services en faveur des thérapeutes agréés, la prévention et le bien-être en matière de santé, la conclusion de conventions avec les professionnels de la santé et les assureurs-maladie. Elle est membre de l’Organisation du monde du travail OrTra MA (comme indiqué à l'adresse Internet http://www.oda- am.ch/fr/ortra-ma/organisations-membres/). L'OrTra MA est l'organisation faîtière nationale pour le domaine professionnel de la médecine alternative non-médicale: Ayurvéda, médecine traditionnelle chinoise, homéopathie, naturopathie européenne</w:t>
      </w:r>
    </w:p>
    <w:p>
      <w:r>
        <w:t>A/2218/2014 - 25/29 - traditionnelle. Elle regroupe des associations ainsi que des organisations professionnelles qui s’intéressent au développement et à la réalisation de la formation professionnelle dans le domaine de la médecine alternative non conventionnelle. Les tâches d'une organisation du monde du travail sont définies par la loi fédérale sur la formation professionnelle du 13 décembre 2002 (LFPr - 412.10). L'OrTra MA défend les intérêts des acteurs du secteur de la santé qui exercent dans le domaine de la médecine alternative et contribue à la conception, l'élaboration et la mise en œuvre de la formation dans cette branche professionnelle. Elle est responsable de toutes les questions de formation se rapportant à la médecine alternative et constitue l’interlocuteur principal pour les autorités fédérales et cantonales. c. Au vu de ce qui précède, on ne saurait suivre l'interprétation que l'intimé donne du témoignage de M. F______, et de l'appréciation qu'il fait de la formation concernée. Il constate en effet que E______ est dirigé par le témoin, « dispense des préceptes relatifs à la pratique de médecine chinoise très éloignés de ce que le système d'éducation en Suisse qualifie d'études et/ou de formation, au sens restreint ou large. » Selon l'intimé, ces préceptes seraient tirés de recherches discrétionnaires effectuées par le Directeur, lequel organiserait, planifierait, évaluerait de manière tout aussi arbitraire le niveau atteint par chacun des participants ; les stages « non destinés à la pratique (? sic) » se bornent en une simple observation de la pratique du Directeur à l'occasion d'une « séance d'un patient personnel du directeur à son cabinet privé ». It critique encore la manière dont se déroulent les examens. Pour lui, les déclarations du témoin suffisent pour attester que depuis la fin de sa scolarité obligatoire, la jeune fille n'aurait plus jamais suivi une formation au sens requis de l'art. 25 al. 5 LAVS. L'appréciation de l'intimé est particulièrement réductrice, et fait totalement fi de ce que cette école, et par conséquent l'enseignement qui y est prodigué, dans toutes ses composantes, aboutissent à un diplôme, lequel - avec les compléments dont il a été question ci-dessus par rapport au niveau requis et d'anatomie -, permettra une reconnaissance individuelle de son titulaire par l'ASCA, et ainsi la prise en charge ses prestations professionnelles par les assurances-maladie complémentaires à la LAMal. C'est également vouloir ignorer que l'ASCA elle-même, est membre de l’Organisation du monde du travail OrTra MA, principal interlocuteur de l'autorité administrative fédérale, le Secrétariat d'Etat à la formation, à la recherche et à l'innovation (SEFRI), dans le cadre de la loi fédérale sur la formation professionnelle. À ce titre, et conformément à l'art. 28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C'est d'ailleurs précisément ce à quoi l'OrTra MA est parvenue, au printemps 2015 : selon l'avis publié sur son site en mai 2015, (http://www.oda-am.ch/fr/home/ ) « le Secrétariat d‘Etat à la formation, à la recherche et à l’innovation (SEFRI) a approuvé, le 28 avril 2015, l’examen</w:t>
      </w:r>
    </w:p>
    <w:p>
      <w:r>
        <w:t>A/2218/2014 - 26/29 - professionnel supérieur pour les naturopathes. Il donne un titre reconnu et protégé dans toute la Suisse : naturopathe avec diplôme fédéral. La profession connaît quatre disciplines : médecine ayurvédique, homéopathie, médecine traditionnelle chinoise MTC et médecine naturelle traditionnelle européenne MTE. Une des revendications centrales de l’article constitutionnel 118a Médecines complémentaires, à savoir la création de diplômes nationaux pour les branches non- médicales de la médecine complémentaire, est ainsi remplie pour une première profession. ». Certes, la mise en place de cet examen professionnel et la création d'un titre de naturopathe avec diplôme fédéral, sont postérieures à la décision entreprise, et ne sont en tant que telles pas relevantes pour la solution du litige, en particulier par rapport à la notion de "diplôme professionnel spécifique" au sens du ch.3358 DR. Mais dans le contexte examiné ici, on doit admettre que si l'ASCA a reconnu la formation dispensée par E______, elle l'a fait en toute connaissance de cause, avec les compétences spécifiques nécessaires, pleinement reconnue par l'organisation faîtière dont elle est membre, et qui est précisément l'organisme ayant mis en place sous le contrôle de l'autorité compétente, le diplôme fédéral et l'examen professionnel qui s'y attache. En ce sens, l'adoption de ce nouveau diplôme fédéral permet de conforter l'idée que la formation suivie par B______ est en tout cas conforme aux exigences requises. L'intimé a de la notion de formation telle qu'on la conçoit en Suisse une certaine idée, mais les choses évoluent, et d'autres modèles se conçoivent. C'est d'ailleurs l'une des raisons pour lesquelles le Conseil fédéral relevait, en marge de l'adoption des art. 49bis et 49ter RAVS, que face à la diversification des filières de formation et à la recrudescence des cas où il est légitime de se demander si l’on se trouve ou non en présence d’une formation, il apparaît indiqué de fixer les critères de détermination utiles dans les dispositions réglementaires. Ce mode de faire permettra l’émergence d’une pratique plus aisée et plus uniforme. d. Il est ainsi démontré qu'B______ suivait régulièrement, au moment de la demande de prestations (19 décembre 2013) une formation en médecine chinoise répondant à toutes les exigences réglementaires et décrites dans les directives de l'OFAS pour que soit reconnu le droit à une rente complémentaire pour enfant de 18 à 25 ans. Cette formation était encore en cours au moment de la décision litigieuse (elle l'a du reste apparemment menée jusqu'à son terme – en cours de procédure -), de sorte que le droit à la rente complémentaire pour enfant, objet du litige doit être reconnu. La décision entreprise sera donc annulée.</w:t>
      </w:r>
    </w:p>
    <w:p>
      <w:r>
        <w:rPr>
          <w:b/>
        </w:rPr>
        <w:t>E. 11</w:t>
      </w:r>
    </w:p>
    <w:p>
      <w:r>
        <w:t>a. Selon le ch. 3346 DR, les rentes en faveur des enfants âgés de 18 à 25 ans, qui commencent une formation seulement après l’accomplissement de leur 18e année et après l’ouverture du droit des parents à une rente de vieillesse ou d’invalidité, prennent naissance, – dans l’AI, le premier jour du mois du début de la formation. b. Le 23 février 2012, l'OAI avait notifié, en dernier lieu à l'assuré une décision de refus de rente complémentaire pour sa fille, estimant q ue les conditions n'en étaient pas réunies (alors même que la jeune fille avait déjà entrepris sa formation en</w:t>
      </w:r>
    </w:p>
    <w:p>
      <w:r>
        <w:t>A/2218/2014 - 27/29 - médecine chinoise auprès de E______). Cette décision n'a pas fait l'objet de recours, de sorte qu'elle est entrée en force. c. Dans le cadre de la présente procédure, les parties admettent l'une à l'autre que la demande de prestations du 19 décembre 2013 constitue une nouvelle demande, et non pas une demande de révision de la décision entrée en force du 23 février 2012. Se pose dès lors la question du jour de la naissance du droit à cette rente complémentaire pour enfant. Dans ses conclusions, le recourant conclut à ce que ce droit lui soit reconnu dès le 1er mars 2014. Il n'indique pas les raisons pour lesquelles ce droit devrait lui être reconnu depuis cette date seulement ; le seul rapprochement que l'on puisse faire avec celle-ci, au vu des éléments figurant au dossier étant le début du Master Class Shangan Lun, (branche de la médecine chinoise destinée à traiter les blessures dues au froid) en parallèle à son cycle de base, depuis le 1er mars 2014, d'une durée de 15 mois, l'ensemble de sa formation, de base et de Master devant se terminer au début de l'été 2015. Or, comme on l'a vu, cette formation, complémentaire et parallèle à la formation de base en cours au moment de la demande, s'est déroulée en parallèle à la formation de base, cette dernière réunissant à elle seule les conditions nécessaires à l'octroi du droit à la rente. La chambre de céans reconnaîtra ainsi le droit à la rente complémentaire pour enfant dès le premier jour du mois au cours duquel la nouvelle demande a été présentée, soit au 1er décembre 2013.</w:t>
      </w:r>
    </w:p>
    <w:p>
      <w:r>
        <w:rPr>
          <w:b/>
        </w:rPr>
        <w:t>E. 12</w:t>
      </w:r>
    </w:p>
    <w:p>
      <w:r>
        <w:t>Enfin le recourant a conclu à ce que lui soient octroyés des intérêts moratoires dès le début du droit à la rente à hauteur de 100 % l'an.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le recourant a fait valoir son droit à l'intérêt moratoire dans les conclusions qu'il a prises à l'appui de ses écritures de recours le 5 septembre 2014, qui ont été communiquées à l'intimé par courrier du 10 septembre 2014, et qu'il a donc reçues au plus tôt le 11 septembre 2014. Le délai de 24 mois à compter de la naissance du droit est arrivé à échéance le 1er décembre 2015, soit plus de 12 mois après que le recourant les a fait valoir, de sorte que l'intérêt moratoire de 5 % (art. 7 al. 1 OPGA) est fixé dès le 1er décembre 2015.</w:t>
      </w:r>
    </w:p>
    <w:p>
      <w:r>
        <w:rPr>
          <w:b/>
        </w:rPr>
        <w:t>E. 13</w:t>
      </w:r>
    </w:p>
    <w:p>
      <w:r>
        <w:t>Au vu de ce qui précède, la chambre de céans annulera donc la décision entreprise, reconnaissant que le recourant a droit à une rente complémentaire pour enfant en faveur de sa fille B______, dès le 1er décembre 2013, la cause étant retournée à l'intimé pour détermination du montant de la rente et son étendue dans le temps, en fonction des justificatifs que le recourant devra lui fournir, par rapport à l'évolution régulière de sa formation, voire de son terme.</w:t>
      </w:r>
    </w:p>
    <w:p>
      <w:r>
        <w:t>A/2218/2014 - 28/29 -</w:t>
      </w:r>
    </w:p>
    <w:p>
      <w:r>
        <w:rPr>
          <w:b/>
        </w:rPr>
        <w:t>E. 14</w:t>
      </w:r>
    </w:p>
    <w:p>
      <w:r>
        <w:t>Au vu de ce qui précède, le recours sera admis et la décision du 11 juillet 2014 annulée au sens des considérants. Le recourant obtenant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15</w:t>
      </w:r>
    </w:p>
    <w:p>
      <w:r>
        <w:t>Étant donné que depuis le 1er juillet 2006, la procédure n'est plus gratuite (art. 69 al. 1bis LAI), au vu du sort du recours, il y a lieu de condamner l'intimé au paiement d'un émolument de CHF 500.-.</w:t>
      </w:r>
    </w:p>
    <w:p>
      <w:r>
        <w:t>A/2218/2014 - 29/29 -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