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ATAS/444/2025 vom 11. Juni 2025</w:t>
      </w:r>
    </w:p>
    <w:p>
      <w:r>
        <w:t>GE Cour de justice, 2025-06-11, FR</w:t>
      </w:r>
    </w:p>
    <w:p>
      <w:r>
        <w:rPr>
          <w:b/>
        </w:rPr>
        <w:t xml:space="preserve">Quelle: </w:t>
      </w:r>
      <w:r>
        <w:t>https://mcp.opencaselaw.ch/entscheid/ge_gerichte_ATAS_444_2025</w:t>
      </w:r>
    </w:p>
    <w:p>
      <w:r>
        <w:t>FR: GE_GERICHTE ATAS/444/2025 du 11 juin 2025</w:t>
      </w:r>
    </w:p>
    <w:p>
      <w:r>
        <w:t>IT: GE_GERICHTE ATAS/444/2025 del 11 giugno 2025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Comment vous déterminez-vous sur l'expertise du Prof. R______ du 8 décembre 2023, son complément d'expertise du 8 juillet 2024 et ses déclarations lors de son audition du 19 février 2025 ? Confirmez-vous en particulier son affirmation selon laquelle il est fréquent qu'après une lésion neurologique ou neuromusculaire, les handicaps persistent, même si les tissus mous profonds sont guéris?</w:t>
      </w:r>
    </w:p>
    <w:p>
      <w:r>
        <w:rPr>
          <w:b/>
        </w:rPr>
        <w:t>E. 16</w:t>
      </w:r>
    </w:p>
    <w:p>
      <w:r>
        <w:t>Formuler un pronostic global.</w:t>
      </w:r>
    </w:p>
    <w:p>
      <w:r>
        <w:rPr>
          <w:b/>
        </w:rPr>
        <w:t>E. 17</w:t>
      </w:r>
    </w:p>
    <w:p>
      <w:r>
        <w:t>Toute remarque utile IV. Invite l’expert à déposer à sa meilleure convenance un rapport en trois exemplaires à la chambre de céans ; V. Réserve le fond.</w:t>
      </w:r>
    </w:p>
    <w:p>
      <w:r>
        <w:t>La greffière</w:t>
      </w:r>
    </w:p>
    <w:p>
      <w:r>
        <w:t>Pascale HUGI</w:t>
      </w:r>
    </w:p>
    <w:p>
      <w:r>
        <w:t>La présidente suppléante</w:t>
      </w:r>
    </w:p>
    <w:p>
      <w:r>
        <w:t>Maya CRAMER 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