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ATAS/444/2023 vom 14. Juni 2023</w:t>
      </w:r>
    </w:p>
    <w:p>
      <w:r>
        <w:t>GE Cour de justice, 2023-06-14, FR</w:t>
      </w:r>
    </w:p>
    <w:p>
      <w:r>
        <w:rPr>
          <w:b/>
        </w:rPr>
        <w:t xml:space="preserve">Quelle: </w:t>
      </w:r>
      <w:r>
        <w:t>https://mcp.opencaselaw.ch/entscheid/ge_gerichte_ATAS_444_2023</w:t>
      </w:r>
    </w:p>
    <w:p>
      <w:r>
        <w:t>FR: GE_GERICHTE ATAS/444/2023 du 14 juin 2023</w:t>
      </w:r>
    </w:p>
    <w:p>
      <w:r>
        <w:t>IT: GE_GERICHTE ATAS/444/2023 del 14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A/3022/2022 - 6/10 -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porte sur le bien-fondé de la prise en compte par l’intimé dans le calcul du droit aux prestations complémentaires de la recourante d’un montant de fortune dessaisi à hauteur de CHF 69'469.- dès le 1er janvier 2022.</w:t>
      </w:r>
    </w:p>
    <w:p>
      <w:r>
        <w:rPr>
          <w:b/>
        </w:rPr>
        <w:t>E. 4</w:t>
      </w:r>
    </w:p>
    <w:p>
      <w:r>
        <w:t>Dans le cadre de la réforme de la LPC, entrée en vigueur le 1er janvier 2021, de nombreuses dispositions ont été modifiées (FF 2016 7249 ; RO 2020 585). Dans la mesure où le recours porte sur le droit aux prestations complémentaires dès le 1er février 2022, soit une période postérieure au 1er janvier 2021, le présent litige est soumis au nouveau droit.</w:t>
      </w:r>
    </w:p>
    <w:p>
      <w:r>
        <w:rPr>
          <w:b/>
        </w:rPr>
        <w:t>E. 5.1</w:t>
      </w:r>
    </w:p>
    <w:p>
      <w:r>
        <w:t>Selon l’art. 9a al. 1 let. a LPC, les personnes seules dont la fortune nette est inférieure à CHF 10'000.- ont droit à des prestations complémentaires. Selon l’art. 11a al. 2 LPC, les autres revenus, parts de fortune et droits légaux ou contractuels auxquels l’ayant droit a renoncé sans obligation légale et sans contre- prestation adéquate sont pris en compte dans les revenus déterminants comme s’il n’y avait pas renoncé. Selon l’art. 11a al. 3 LPC, un dessaisissement de fortune est également pris en compte si, à partir de la naissance d’un droit à une rente de survivant de l’AVS ou à une rente de l’AI, plus de 10% de la fortune est dépensée par année sans qu’un motif important ne le justifie. Si la fortune est inférieure ou égale à CHF 100'000.-, la limite est de CHF 10'000.- par année. Le Conseil fédéral règle les modalités; il définit en particulier la notion de « motif important ». L’al. 3 s’applique aux bénéficiaires d’une rente de vieillesse de l’AVS également pour les dix années qui précèdent la naissance du droit à la rente (art. 11a al. 4 LPC). Les al. 3 et 4 de l’art. 11a LPC ne s’appliquent toutefois qu’à la fortune qui a été dépensée après le 1er janvier 2021 (cf. al. 3 des Dispositions transitoires de la modification du 22 mars 2019 – Réforme des PC). Selon l’art. 17e OPC-AVS/AI, le montant de la fortune qui a fait l’objet d’un dessaisissement au sens de l’art. 11a al. 2 et 3 LPC et qui doit être pris en compte dans le calcul de la prestation complémentaire est réduit chaque année de CHF 10'000.- (al. 1). Le montant de la fortune au moment du dessaisissement doit être reporté tel quel au 1er janvier de l’année suivant celle du dessaisissement pour</w:t>
      </w:r>
    </w:p>
    <w:p>
      <w:r>
        <w:t>A/3022/2022 - 7/10 - être ensuite réduit chaque année (al. 2). Est déterminant pour le calcul de la prestation complémentaire annuelle le montant réduit de la fortune au 1er janvier de l’année pour laquelle la prestation est servie (al. 3). Si un dessaisissement de fortune a eu lieu au cours de la période considérée en raison de l’aliénation de parts de fortune, au sens de l’art. 17b let. a OPC-AVS/AI, le montant des parts de fortune dessaisies, réduit de CHF 10'000.- par année (cf. art. 17e al. 1 OPC-AVS/AI) doit être ajouté à la fortune effective pour la détermination de la consommation admise (DPC ch. 3533.10). En cas de solde restant, doivent ensuite être déduites les diminutions de la fortune pour un autre motif important au sens de l’art. 17d al. 3 let. b ch. 1 à 5 OPC- AVS/AI et les éventuelles pertes de fortune involontaires au sens de l’art. 17d al.3 let. c OPC-AVS/AI (DPC ch. 3533.28). Tout éventuel solde restant doit être considéré comme une part de fortune dessaisie dans le calcul de la prestation complémentaire, à prendre en compte à partir du 1er janvier de l’année suivant l’année civile durant laquelle la consommation excessive a eu lieu (DPC ch. 3533.29).</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5.3</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P 65/04 du 29 août 2005 consid. 5.3.2; VSI 1994 p. 227</w:t>
      </w:r>
    </w:p>
    <w:p>
      <w:r>
        <w:t>A/3022/2022 - 8/10 -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P 59/02 du 28 août 2003 consid. 3.3 et les références).</w:t>
      </w:r>
    </w:p>
    <w:p>
      <w:r>
        <w:rPr>
          <w:b/>
        </w:rPr>
        <w:t>E. 6</w:t>
      </w:r>
    </w:p>
    <w:p>
      <w:r>
        <w:t>En l’espèce, l’intimé a constaté dans sa décision du 1er juin 2022 que la recourante n’avait pas droit aux prestations complémentaires dès le 1er février 2022, car sa fortune nette était supérieure au seuil prévu par la loi. L’intimé a fondé cette décision sur la prise en compte d’un bien dessaisi de CHF 90'801.- pour l’année 2022, en tenant compte du fait que la recourante avait utilisé une partie de sa fortune sans contreprestations valables. Dans sa décision sur opposition du 18 août 2022, qui confirme la décision du 1er juin 2022, l’intimé a repris le calcul de la fortune dessaisie et expliqué que la recourante avait perçu EUR 170'896.- selon l’acte notarié du 24 janvier 2020, sur la vente de son bien immobilier sis en France, correspondant à CHF 185'490.- (x 1,0854) et que sa fortune totale au 31 décembre 2019 s’élevait à CHF 187'646.- en tenant compte en plus de son épargne à hauteur de CHF 2'156.-. L’immeuble a été vendu en janvier 2020 et la recourante a reçu sur son compte privé au Crédit Suisse la somme de CHF 178'526.57 le 30 janvier 2020. Faute d’explication sur la différence entre le montant indiqué sur le décompte notarial établi le 24 janvier 2020 qui mentionnait que EUR 170'896.- (CHF 185'490.-) devaient être versé à la recourante suite à la vente de son bien immobilier et le montant qu’elle a effectivement reçu le 30 janvier 2020, il y a lieu de s’en tenir au montant figurant sur l’acte notarié, qui est davantage probant. L’intimé a ensuite constaté qu’au 31 décembre 2021, la fortune de la recourante ne s’élevait plus qu’à CHF 58'820.- selon l’avis de taxation 2020, alors que compte tenu de ses revenus déterminants (CHF 10'026.-), de ses besoins vitaux et de ses dépenses justifiées (CHF 33'509.-), sa fortune aurait encore dû s’élever à CHF 138'289.-. Le montant dessaisi durant 2020 s’élevait ainsi à CHF 79'469.- (CHF 138'289.- – CHF 58'820.-), soit un montant amorti de CHF 69'469.- à prendre en compte dans sa fortune dès janvier 2022. L’intimé a ensuite considéré sur la base des extraits du compte bancaire produits que la fille de la recourante avait vraisemblablement fait des dépenses en faveur de sa mère à hauteur de CHF 29'656.-. À ce montant, il a ajouté les frais médicaux et bancaires qui ressortaient de l’avis de taxation de la recourante pour l’année 2020, soit respectivement CHF 3'841.- et CHF 12.-, et considéré que le total de ces montants, soit CHF 33'509.-, pouvait être considéré comme des contreprestations justifiées d’une partie de la fortune dont la recourante s’était dessaisie.</w:t>
      </w:r>
    </w:p>
    <w:p>
      <w:r>
        <w:t>A/3022/2022 - 9/10 - L’intimé a ainsi correctement établi le montant de fortune dessaisi, en application du droit applicable. La recourante n’ayant pas été en mesure d’apporter la preuve de contreprestations valables pour la totalité du montant dessaisi, en particulier qu’elle aurait versé plus de CHF 29'656.- à sa fille à titre de remboursement d’avances faites par cette dernière en sa faveur, elle doit supporter le fardeau de la preuve. Il en résulte que la décision querellée repose sur une évaluation correcte de la fortune de la recourante qui exclut son droit aux prestations complémentaire dès le 1er février 2022 et qu’elle doit être confirmée.</w:t>
      </w:r>
    </w:p>
    <w:p>
      <w:r>
        <w:rPr>
          <w:b/>
        </w:rPr>
        <w:t>E. 7</w:t>
      </w:r>
    </w:p>
    <w:p>
      <w:r>
        <w:t>Infondé, le recours sera rejeté. La procédure est gratuite (art. 61 let. fbis a contrario LPGA).</w:t>
      </w:r>
    </w:p>
    <w:p>
      <w:r>
        <w:t>A/3022/2022 - 10/10 -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