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ATAS/444/2019 vom 21. Mai 2019</w:t>
      </w:r>
    </w:p>
    <w:p>
      <w:r>
        <w:t>GE Cour de justice, 2019-05-21, FR</w:t>
      </w:r>
    </w:p>
    <w:p>
      <w:r>
        <w:rPr>
          <w:b/>
        </w:rPr>
        <w:t xml:space="preserve">Quelle: </w:t>
      </w:r>
      <w:r>
        <w:t>https://mcp.opencaselaw.ch/entscheid/ge_gerichte_ATAS_444_2019</w:t>
      </w:r>
    </w:p>
    <w:p>
      <w:r>
        <w:t>FR: GE_GERICHTE ATAS/444/2019 du 21 mai 2019</w:t>
      </w:r>
    </w:p>
    <w:p>
      <w:r>
        <w:t>IT: GE_GERICHTE ATAS/444/2019 del 21 maggio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S’agissant de la recevabilité du recours, la chambre de céans relève ce qui suit. 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Les décisions préjudicielles et incidentes désignent toutes les décisions qui ne mettent pas un terme à la procédure et qui ne sont dès lors ni des décisions finales, ni des décisions partielles (ATF 133 V 477 consid. 4.1.3). Selon l’art. 92 de la loi sur le Tribunal fédéral (LTF - RS 173.110), les décisions préjudicielles et incidentes qui sont notifiées séparément et qui portent sur la compétence ou sur une demande de récusation peuvent faire l'objet d'un recours (al. 1). Ces décisions ne peuvent plus être attaquées ultérieurement (al. 2). Les art. 45 et 46 de la loi sur la procédure administrative du 20 décembre 1968 (PA - RS 172.021) prévoient les mêmes conditions de recours s’agissant des décisions administratives. Au plan cantonal, l’art. 57 de la loi sur la procédure administrative du 12 septembre 1985 (LPA – E 5 10) dispose que sont susceptibles d’un recours les décisions finales (let. a) ; les décisions par lesquelles l’autorité admet ou décline sa compétence (let. b) ; les décisions incidentes, si elles peuvent causer un préjudice irréparable ou si l'admission du recours peut conduire immédiatement à une décision finale qui permet d'éviter une procédure probatoire longue et coûteuse (let. c). Dans un arrêt de principe portant notamment sur les droits de participation des assurés lors de la désignation d’un expert, le Tribunal fédéral a admis que selon une interprétation conforme à la Constitution (Cst – RS 101) et à la Convention de sauvegarde des droits de l'homme et des libertés fondamentales (CEDH – RS 0.101) de la notion de préjudice irréparable en tant que condition de recevabilité d'un recours, cette condition doit être considérée comme réalisée s’agissant d’une décision incidente portant sur une expertise (ATF 137 V 210 consid. 3.4.2.7). Cet arrêt porte certes sur les expertises pluridisciplinaires confiées à des COMAI. Les exigences qui s’en dégagent sont toutefois également applicables aux expertises mono- ou bidisciplinaires (Ulrich KIESER, ATSG-Kommentar, 3ème éd. 2015, n. 29 ad art. 44 LPGA ; ATF 139 V 349 consid. 3 à 5).</w:t>
      </w:r>
    </w:p>
    <w:p>
      <w:r>
        <w:t>A/3829/2018 - 10/16 - Partant, le recours, interjeté dans les forme et délai prévus aux art. 56ss LPGA, est recevable.</w:t>
      </w:r>
    </w:p>
    <w:p>
      <w:r>
        <w:rPr>
          <w:b/>
        </w:rPr>
        <w:t>E. 3</w:t>
      </w:r>
    </w:p>
    <w:p>
      <w:r>
        <w:t>Le litige, tel que circonscrit par la décision dont est recours, porte uniquement sur le droit de l’intimé à mettre en œuvre une nouvelle expertise psychiatrique.</w:t>
      </w:r>
    </w:p>
    <w:p>
      <w:r>
        <w:rPr>
          <w:b/>
        </w:rPr>
        <w:t>E. 4</w:t>
      </w:r>
    </w:p>
    <w:p>
      <w:r>
        <w:t>L’art. 43 LPGA dispose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Cette disposition n’a pas pour but d’examiner la faisabilité d’une mesure médicale en obtenant un second avis, mais de déterminer l’ampleur des investigations nécessaires afin d’établir l’état de fait déterminant au degré de la vraisemblance prépondérante. Dans ce contexte, la nécessité de mettre en œuvre une nouvelle expertise résulte de la réponse à la question de savoir si les expertises déjà versées au dossier satisfont aux exigences que doivent revêtir de tels rapports en matière de contenu et de valeur probante (arrêt du Tribunal fédéral des assurances U 571/06 du 29 mai 2007 consid. 4.2 in SVR 2007 UV n° 33 p. 111).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devoir de prendre d'office les mesures d'instruction nécessaires à l'appréciation du cas au sens de l'art. 43 al. 1 LPGA ne comprend pas le droit de l'assureur de recueillir un second avis médical (second opinion) sur les faits déjà établis par une expertise lorsque celle-ci ne lui convient pas. L'assuré ne dispose d'ailleurs pas non plus d'une telle possibilité (arrêt du Tribunal fédéral 9C_499/2013 du 20 février 2014 consid. 6.4.2.1). Notre Haute Cour a du reste précisé que la mise en œuvre d’une deuxième expertise qui n’est pas indispensable peut relever d’un retard injustifié (arrêt du Tribunal fédéral 8C_699/2009 du 22 avril 2010 consid. 3.3.).</w:t>
      </w:r>
    </w:p>
    <w:p>
      <w:r>
        <w:rPr>
          <w:b/>
        </w:rPr>
        <w:t>E. 5</w:t>
      </w:r>
    </w:p>
    <w:p>
      <w:r>
        <w:t>Dans un arrêt récent concernant les troubles somatoformes douloureux (ATF 141 V 281), le Tribunal fédéral a retenu que la capacité de travail réellement exigible doit être évaluée dans le cadre d'une procédure d'établissement des faits</w:t>
      </w:r>
    </w:p>
    <w:p>
      <w:r>
        <w:t>A/3829/2018 - 11/16 -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w:t>
      </w:r>
    </w:p>
    <w:p>
      <w:r>
        <w:t>A/3829/2018 - 12/16 -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A/3829/2018 - 13/16 -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6</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7</w:t>
      </w:r>
    </w:p>
    <w:p>
      <w:r>
        <w:t>En l’espèce, le mandat d’expertise adressé au Pr G______ a été établi conformément à la nouvelle jurisprudence. Il correspond en effet au canevas de questions élaboré pour les expertises psychiatriques par le groupe de travail interdisciplinaire de l’office fédéral des assurances sociales (ci-après : OFAS) et publié dans la lettre circulaire AI n° 339 du 9 septembre 2015. Or, la structure du rapport du Pr G______ et de la Dresse H______ n’est pas conforme à ce mandat. Ce seul point ne suffirait certes pas à nier sa valeur probante si son contenu permettait de trancher le caractère invalidant des atteintes en fonction des indicateurs jurisprudentiels rappelés ci-dessus. Cependant, force est de constater que les experts ne se prononcent guère sur la gravité fonctionnelle des atteintes. En ce qui concerne en particulier les diagnostics de trouble obsessionnel-compulsif et d’anorexie avec émétophobie, ils sont certes mentionnés dans l’anamnèse. On peine toutefois à comprendre leur retentissement au quotidien,</w:t>
      </w:r>
    </w:p>
    <w:p>
      <w:r>
        <w:t>A/3829/2018 - 14/16 - d’autant plus que les experts ont indiqué que le trouble obsessionnel-compulsif était maîtrisé. Il semble que cette atteinte se manifeste par la vérification des dates de péremption des aliments, sans qu’il ressorte de l’anamnèse ou des plaintes qu’il s’agirait là d’un comportement envahissant. Quant à l’anorexie atypique, ses manifestations ne sont guère détaillées. Partant, à défaut d’explications, les répercussions sur la capacité de travail admises du fait de ces troubles n’emportent pas la conviction. Par ailleurs, le caractère invalidant de ces deux diagnostics n’a pas été retenu par les autres psychiatres, notamment par la Dresse F______ à tout le moins dans ses rapports antérieurs à l’expertise du Pr G______ – ce qui suscite également certains doutes quant à cette appréciation. On ajoutera encore que la conclusion quant au caractère décompensé depuis 2012 du trouble de la personnalité histrionique est en contradiction avec l’évaluation à laquelle a procédé à l’époque le Dr B______, lequel retenait uniquement une accentuation des traits de cet ordre. Le Pr G______ et la Dresse H______ n’étayent pas les raisons qui les conduisent à s’écarter de l’avis du premier expert psychiatre. En outre, les experts, s’agissant du chapitre sur la cohérence, ont exposé le mode de fonctionnement de la recourante et les limitations fonctionnelles qu’ils inféraient des diagnostics retenus, mais ne se prononcent pas sur cette notion telle qu’elle est définie dans la jurisprudence, soit sur le point de savoir si les limitations liées à l’atteinte à la santé se retrouvent également dans tous les domaines de la vie de la recourante. Les éléments recueillis dans le cadre de l’expertise – par exemple les activités de loisirs, le recours à des tiers pour l’aider dans les soins aux enfants et le fait de ne pas les accompagner sur la place de jeu – ne sont pas suffisamment détaillés pour trancher cette question. Enfin, la recourante signale une aggravation de son état de santé depuis août 2018. C’est ici le lieu de rappeler que selon la jurisprudence, la légalité de la décision attaquée doit être appréciée d'après l'état de fait existant au moment où la décision a été rendue (ATF 131 V 242 consid. 2.1 ; arrêt du Tribunal fédéral 9C_469/2015 du 19 février 2016 consid. 4.2). Dès lors que l’aggravation annoncée est antérieure à la décision sur le fond, l’intimé devra déterminer son éventuelle incidence sur le droit aux prestations, ce que ne permet pas l’expertise du Pr G______, puisqu’elle a été établie avant sa survenance. Compte tenu des éléments qui précèdent, l’expertise au dossier ne permet pas de trancher le droit aux prestations. C’est ainsi à juste titre que l’intimé a poursuivi l’instruction. S’agissant du point de savoir s’il devait se contenter de solliciter un complément d’expertise auprès du Pr G______, comme l’affirme la recourante, il convient de souligner que l'assureur dispose d'un large pouvoir d'appréciation en ce qui concerne la nécessité, l'étendue et l'adéquation de recueillir des données médicales dans la conduite de la procédure (arrêt du Tribunal fédéral 9C_1012/2008 du 30 juin 2009 consid. 3.2.1). Malgré ce qui précède, il n’est pas habilité à ordonner n’importe quel moyen de preuve et doit veiller à agir de manière objective et</w:t>
      </w:r>
    </w:p>
    <w:p>
      <w:r>
        <w:t>A/3829/2018 - 15/16 - impartiale, en gardant à l’esprit l’intérêt général à une gestion économique et rationnelle de l’assurance (Jacques Olivier PIGUET in Commentaire romand, Loi sur la partie générale des assurances sociales, 2018, n. 10 ad art. 43 LPGA). Dans le cas d’espèce, le défaut de valeur probante du rapport du Pr G______ et de Mme H______ n’est pas uniquement lié à l’absence de commentaires quant à certains indicateurs jurisprudentiels – cas dans lequel un simple complément peut s’avérer suffisant (cf. ATF 141 V 281 consid. 8) – mais également aux doutes que soulèvent en partie les diagnostics et les effets sur la capacité de gain admis. Partant, la mise en œuvre d’une nouvelle expertise est opportune. Dans ces conditions, par appréciation anticipée des preuves (ATF 130 II 425 consid. 2.1), la chambre de céans n’entendra pas le Pr G______. Enfin, la recourante n’a élevé aucune objection quant à la personne du Dr I______, si bien qu’il n’existe pas de motif pour la chambre de céans de ne pas confirmer l’expert désigné dans la décision dont est recours.</w:t>
      </w:r>
    </w:p>
    <w:p>
      <w:r>
        <w:rPr>
          <w:b/>
        </w:rPr>
        <w:t>E. 8</w:t>
      </w:r>
    </w:p>
    <w:p>
      <w:r>
        <w:t>Le recours est rejeté. La procédure ne portant pas sur l'octroi ou le refus de prestations, elle est gratuite (cf. art. 69 al. 1bis LAI a contrario). * * * * * *</w:t>
      </w:r>
    </w:p>
    <w:p>
      <w:r>
        <w:t>A/3829/2018 - 16/16 -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