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ATAS/443/2019 vom 21. Mai 2019</w:t>
      </w:r>
    </w:p>
    <w:p>
      <w:r>
        <w:t>GE Cour de justice, 2019-05-21, FR</w:t>
      </w:r>
    </w:p>
    <w:p>
      <w:r>
        <w:rPr>
          <w:b/>
        </w:rPr>
        <w:t xml:space="preserve">Quelle: </w:t>
      </w:r>
      <w:r>
        <w:t>https://mcp.opencaselaw.ch/entscheid/ge_gerichte_ATAS_443_2019</w:t>
      </w:r>
    </w:p>
    <w:p>
      <w:r>
        <w:t>FR: GE_GERICHTE ATAS/443/2019 du 21 mai 2019</w:t>
      </w:r>
    </w:p>
    <w:p>
      <w:r>
        <w:t>IT: GE_GERICHTE ATAS/443/2019 del 21 maggio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4</w:t>
      </w:r>
    </w:p>
    <w:p>
      <w:r>
        <w:t>Le litige porte sur le droit du recourant aux prestations de l'intimée au-delà du</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A/301/2018 - 14/20 -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A/301/2018 - 15/20 -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A/301/2018 - 16/20 -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A/301/2018 - 17/20 -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w:t>
      </w:r>
    </w:p>
    <w:p>
      <w:r>
        <w:t>A/301/2018 - 18/20 -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En l'espèce, aucun des médecins traitants du recourant ne s’est formellement prononcé sur le lien de causalité entre le diagnostic de snapping scapula et l'accident du 22 août 2016. Le rapport établi par le médecin d'arrondissement de l'intimée, le Dr L______ a considéré que l'origine de cette pathologie était multifactorielle, fonctionnelle sans rapport de vraisemblance prépondérante avec l'accident sans motivation convaincante. L'appréciation de la Dresse J______ ne peut pas non plus se voir reconnaître pleine valeur probante, dès lors qu'elle n'a pas procédé à un examen clinique, ni tenu compte des plaintes de l'assuré. Il se justifie en conséquence d'ordonner une expertise judiciaire par un chirurgien orthopédiste.</w:t>
      </w:r>
    </w:p>
    <w:p>
      <w:r>
        <w:rPr>
          <w:b/>
        </w:rPr>
        <w:t>E. 17</w:t>
      </w:r>
    </w:p>
    <w:p>
      <w:r>
        <w:t>En cas de lien de causalité, quelles sont les limitations fonctionnelles de la personne expertisée ?</w:t>
      </w:r>
    </w:p>
    <w:p>
      <w:r>
        <w:rPr>
          <w:b/>
        </w:rPr>
        <w:t>E. 18</w:t>
      </w:r>
    </w:p>
    <w:p>
      <w:r>
        <w:t>Quelle est la capacité de travail raisonnablement exigible de la personne expertisée, en tenant compte desdites limitations et de son rendement ?</w:t>
      </w:r>
    </w:p>
    <w:p>
      <w:r>
        <w:rPr>
          <w:b/>
        </w:rPr>
        <w:t>E. 19</w:t>
      </w:r>
    </w:p>
    <w:p>
      <w:r>
        <w:t>Peut-on attendre de la poursuite d’un traitement médical une notable amélioration de l’état de santé de la personne expertisée ?</w:t>
      </w:r>
    </w:p>
    <w:p>
      <w:r>
        <w:rPr>
          <w:b/>
        </w:rPr>
        <w:t>E. 20</w:t>
      </w:r>
    </w:p>
    <w:p>
      <w:r>
        <w:t>Si non, à partir de quel moment ne peut-on plus attendre de la continuation du traitement médical une notable amélioration de l’état de santé du recourant (état final atteint) ? g) Faire toute remarque utile et proposition. 4. Invite l’expert à déposer son rapport en trois exemplaires dans les meilleurs délais auprès de la chambre de céans. 5. Réserve le fond ainsi que le sort des frais jusqu’à droit jugé au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