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ATAS/443/2018 vom 28. Mai 2018</w:t>
      </w:r>
    </w:p>
    <w:p>
      <w:r>
        <w:t>GE Cour de justice, 2018-05-28, FR</w:t>
      </w:r>
    </w:p>
    <w:p>
      <w:r>
        <w:rPr>
          <w:b/>
        </w:rPr>
        <w:t xml:space="preserve">Quelle: </w:t>
      </w:r>
      <w:r>
        <w:t>https://mcp.opencaselaw.ch/entscheid/ge_gerichte_ATAS_443_2018</w:t>
      </w:r>
    </w:p>
    <w:p>
      <w:r>
        <w:t>FR: GE_GERICHTE ATAS/443/2018 du 28 mai 2018</w:t>
      </w:r>
    </w:p>
    <w:p>
      <w:r>
        <w:t>IT: GE_GERICHTE ATAS/443/2018 del 28 maggio 2018</w:t>
      </w:r>
    </w:p>
    <w:p>
      <w:pPr>
        <w:pStyle w:val="Heading2"/>
      </w:pPr>
      <w:r>
        <w:t>Erwägungen</w:t>
      </w:r>
    </w:p>
    <w:p>
      <w:r>
        <w:rPr>
          <w:b/>
        </w:rPr>
        <w:t>E. 1</w:t>
      </w:r>
    </w:p>
    <w:p>
      <w:r>
        <w:t>La cause ayant été retournée à la chambre de céans par arrêt du 31 juillet 2017 du Tribunal fédéral (9C_827/2016), il y a lieu d'observer que la compétence de la chambre de céans pour connaître du présent litige et la recevabilité du recours n'ont pas été remises en cause par notre Haute Cour, de sorte qu'il n'y a plus lieu d'y revenir.</w:t>
      </w:r>
    </w:p>
    <w:p>
      <w:r>
        <w:rPr>
          <w:b/>
        </w:rPr>
        <w:t>E. 2</w:t>
      </w:r>
    </w:p>
    <w:p>
      <w:r>
        <w:t>Le litige porte sur la question de savoir si c’est à juste titre que l’intimé a octroyé à la recourante trois quarts de rente d'invalidité limité du 1er décembre 2011 au 31 août 2012.</w:t>
      </w:r>
    </w:p>
    <w:p>
      <w:r>
        <w:rPr>
          <w:b/>
        </w:rPr>
        <w:t>E. 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w:t>
      </w:r>
    </w:p>
    <w:p>
      <w:r>
        <w:t>A/2603/2014 - 20/31 - L’art. 17 al. 1er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I.559/02 du 31 janvier 2003 consid. 3.2 et les références). La réglementation sur la révision ne saurait en effet constituer un fondement juridique à un réexamen sans condition du droit à la rente (arrêt du Tribunal fédéral des assurances I.406/05 du 13 juillet 2006 consid. 4.1).</w:t>
      </w:r>
    </w:p>
    <w:p>
      <w:r>
        <w:rPr>
          <w:b/>
        </w:rPr>
        <w:t>E. 4</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5</w:t>
      </w:r>
    </w:p>
    <w:p>
      <w:r>
        <w:t>L’art. 28 al. 2 LAI dispose que l’assuré a droit à une rente entière s’il est invalide à 70 % au moins, à trois quarts de rente s’il est invalide à 60 % au moins, à une demi- rente s’il est invalide à 50 % au moins ou à un quart de rente s’il est invalide à 40 % au moins. Pour évaluer le degré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w:t>
      </w:r>
    </w:p>
    <w:p>
      <w:r>
        <w:t>A/2603/2014 - 21/31 -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5.1</w:t>
      </w:r>
    </w:p>
    <w:p>
      <w:r>
        <w:t>et 5.2).</w:t>
      </w:r>
    </w:p>
    <w:p>
      <w:r>
        <w:rPr>
          <w:b/>
        </w:rPr>
        <w:t>E. 6</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w:t>
      </w:r>
    </w:p>
    <w:p>
      <w:r>
        <w:rPr>
          <w:b/>
        </w:rPr>
        <w:t>E. 7</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w:t>
      </w:r>
    </w:p>
    <w:p>
      <w:r>
        <w:t>A/2603/2014 - 22/31 -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Selon la pratique administrative ressortant des chiffres 3086ss de la Circulaire sur l’invalidité et l’impotence dans l’assurance-invalidité, dans sa version dès le 1er janvier 2015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 entretien du logement (épousseter, passer l’aspirateur, entretenir les sols, nettoyer les vitres, faire les lits) : entre 5 % et 20 % ; achats et courses diverses (poste, assurances, services officiels) : entre 5 % et</w:t>
      </w:r>
    </w:p>
    <w:p>
      <w:r>
        <w:rPr>
          <w:b/>
        </w:rPr>
        <w:t>E. 10</w:t>
      </w:r>
    </w:p>
    <w:p>
      <w:r>
        <w:t>a) En vertu des art. 28 al. 1 et 29 al. 1 LAI (dans leur teneur en vigueur depuis le 1er janvier 2008), le droit à la rente prend naissance au plus tôt à la date dès laquelle l’assuré a présenté une incapacité de travail (art. 6 LPGA) d’au moins 40 %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222 consid. 4.3.1). Ce revenu doit être évalué de manière aussi concrète que possible si bien qu'il convient, en règle générale, de se référer au dernier salaire que l'assuré a</w:t>
      </w:r>
    </w:p>
    <w:p>
      <w:r>
        <w:t>A/2603/2014 - 27/31 - obtenu avant l'atteinte à sa santé, en tenant compte de l'évolution des salaires (arrêt du Tribunal fédéral des assurances I 428/06 du 25 mai 2007 consid. 7.3.3.1). Quant au revenu d'invalide, il doit être évalué avant tout en fonction de la situation professionnelle concrète de l'intéressé.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il y a lieu de se référer aux données statistiques, telles qu'elles résultent des enquêtes sur la structure des salaires de l'Office fédéral de la statistique (ATF 135 V 297 consid. 5.2; ATF 129 V 472 consid. 4.2.1).</w:t>
      </w:r>
    </w:p>
    <w:p>
      <w:r>
        <w:rPr>
          <w:b/>
        </w:rPr>
        <w:t>E. 11</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12</w:t>
      </w:r>
    </w:p>
    <w:p>
      <w:r>
        <w:t>En l’espèce, l'intimé a mis la recourante au bénéfice de trois quarts de rente du 1er décembre 2011 au 31 août 2012. La recourante fait valoir qu'elle a droit à une rente entière jusqu'en décembre 2012, puis à une demi-rente. Sur le plan médical, il n'est pas contesté que la recourante a présenté une incapacité de travail totale dès le 4 décembre 2010. L’intimé a considéré que la recourante avait ensuite recouvré une pleine capacité de travail en août 2012, en se fondant sur l’avis du SMR. Si le Dr I______ a certes indiqué dans son avis du 1er juillet 2013 que la capacité de travail était totale dès août 2012, cette conclusion et les motifs qui lui permettent de s’écarter des certificats des médecins traitants ne sont nullement étayés. Cette conclusion prête d’autant plus à caution que dans son précédent avis du 27 février 2013, le médecin du SMR a retenu que l’accident se serait notamment soldé par une entorse de la cheville, ce qui traduit une méconnaissance du dossier et des diagnostics de la recourante. Enfin, elle est pour le moins confuse puisque le Dr I______ fait état d’une capacité de 50 % en tant qu’enseignante dès août 2012, avant de retenir que la capacité est pleine – soit de 100 % – dès cette date. Il est vrai que la recourante avait manifesté l’intention de reprendre en août 2012, comme cela ressort de la note du 13 janvier 2012 de la Suva. Cela ne signifie pas pour autant qu’elle ait été apte à le faire au plan médical. Le Dr G______ avait</w:t>
      </w:r>
    </w:p>
    <w:p>
      <w:r>
        <w:t>A/2603/2014 - 28/31 - certes articulé une date de reprise en été 2012 dans son rapport du 10 janvier 2012. Il a cependant indiqué en avril 2012 que la capacité de travail restait nulle, ce qu’a confirmé le Dr E______ dans son rapport du 14 mai 2012. Ce dernier médecin a du reste souligné que l’amélioration était subjective, mais que les séquelles objectives perduraient, ce qui pourrait compromettre la reprise souhaitée en août 2012. Les deux médecins traitants ont confirmé en octobre 2012 que la capacité de travail ne s’était pas rétablie. La recourante a finalement repris son poste d’enseignante en décembre 2012, conformément aux conclusions du Dr G______. Ainsi, l’évocation d’une reprise du travail dès août 2012 correspondait à la volonté exprimée par la recourante, mais non aux constatations médicales objectives des Drs E______ et G______, qu’aucun document médical probant ne permet de remettre en question. Par conséquent, c’est à tort que l’intimé a établi le droit aux prestations de la recourante en se fondant sur une reprise de son activité lucrative en tant qu’enseignante dès août 2012. Pour ce motif déjà, la décision litigieuse doit être annulée.</w:t>
      </w:r>
    </w:p>
    <w:p>
      <w:r>
        <w:rPr>
          <w:b/>
        </w:rPr>
        <w:t>E. 13</w:t>
      </w:r>
    </w:p>
    <w:p>
      <w:r>
        <w:t>Vu l'arrêt du Tribunal fédéral du 31 juillet 2017 (9C_827/2016), il y a lieu de retenir que c'est à juste titre que l’intimé a tenu compte d’un statut mixte pour la recourante, correspondant à 50 % dans l’activité déployée dans l’enseignement et à 50 % dans les travaux ménagers, de sorte que son degré d’invalidité doit être évalué en fonction de la méthode mixte d’évaluation. S’agissant de l’enquête ménagère, on relèvera que l'enquêtrice a retenu pour le poste des soins aux enfants, une pondération de 30%. Or, ce plafonnement à 30 % ne paraît, à l'évidence, pas adapté à la situation de la recourante. En effet, les soins prodigués par la recourante à son fils B______ jusqu’à l’accident représentaient une charge de travail excédant très largement les tâches d’éducation et d’assistance qui incombent aux parents d’enfants non handicapés. Il n’est pas contesté par ailleurs que ce sont les conséquences de l’accident qui ont contraint la recourante, désormais inapte médicalement à assumer à la fois une activité professionnelle et la prise en charge de B______, à confier ce dernier en internat au Foyer Clair-Bois. Sa capacité de travail de 50 % au maximum dans l’enseignement n’est pas non plus remise en question par l’intimé. Il est également établi que le fils aîné de la recourante, en raison de son sévère handicap, a été mis au bénéfice d’une allocation pour impotent pour mineur de degré grave avec un supplément pour soins intenses correspondant à un surcroît d’aide dépassant huit heures par jour. Un tel supplément associé à une allocation pour impotent de degré grave constitue la prestation légale maximale, dont l’octroi est subordonné à l’existence d’un surcroît de travail, sous forme de soins et de surveillance, de cette durée au moins (cf. art. 42ter al. 3 LAI, art. 37 et 39 RAI). Enfin, les enquêtes versées au dossier par la recourante relèvent l’extrême lourdeur du handicap de B______, et l’évaluation réalisée en mars 2004 considère que ce seuil de huit heures est largement dépassé. Il convient d'observer à ce sujet que le Tribunal fédéral a souligné, dans l'arrêt rendu dans la présente cause, que dans ce contexte et contrairement à l'avis du</w:t>
      </w:r>
    </w:p>
    <w:p>
      <w:r>
        <w:t>A/2603/2014 - 29/31 - recourant, il faut rappeler que la jurisprudence admet que la pondération des soins aux enfants puisse excéder 30 % des travaux habituels, lorsque l'activité de soins et d'assistance doit être considérée comme activité principale de l'assuré. On ajoutera que dans certaines circonstances bien définies, la jurisprudence autorise à tenir compte de la diminution de la capacité d'exercer une activité lucrative ou d'accomplir les travaux habituels en raison des efforts consentis dans l'autre domaine d'activité (9C_827/2016 consid. 6.1 § 3 et réf. citées). Au vu de l'ensemble de ces éléments, c'est donc à tort que l'intimé a plafonné la pondération du poste des soins aux enfants à 30% des travaux habituels. On ajoutera par ailleurs que les calculs opérés par l’enquêtrice se révèlent erronés. Comme cela ressort en effet du tableau récapitulatif établi par la chambre de céans, les parts relatives aux différents travaux s’élèvent en tout à 101 % dans la première enquête du 11 novembre 2013. Quant à la seconde enquête d’avril 2014, elle a procédé à un découpage des différents travaux en sous-activités et a revu certains empêchements dans ces sous-activités à la baisse, sans systématiquement indiquer quels sont les empêchements retenus dans l’ensemble pour chaque rubrique. L’enquêtrice a par ailleurs tenu compte dans la seconde enquête d’une exigibilité de la part de la mère de la recourante, sans que l’on sache si cette exigibilité s’appliquait à l’ensemble des travaux visés dans les différents postes ou uniquement à une sous-activité. A titre d’exemple, s’agissant de la rubrique Alimentation, on ignore si l’enquêtrice entendait appliquer une exigibilité de 10 % pour tous les travaux, y compris la préparation des repas, ou uniquement pour le nettoyage de la cuisine, également utilisée par la mère de la recourante. A défaut d’indication sur les empêchements globaux dans chaque activité et de comparaison claire avec les empêchements retenus à la suite de la première visite, il est impossible de comprendre comment l’enquêtrice a établi le degré d’invalidité dans la sphère ménagère lors de la visite du 3 avril 2014 et de reconstituer son calcul. On ajoutera que la deuxième enquête a modifié le poste Divers – pondéré à 0 % dans le premier rapport de novembre 2013 – en retenant désormais que les travaux de jardinage et d’aménagement représentaient 5 % des travaux habituels. L’enquêtrice n’ayant pas expressément mentionné une réduction correspondante de la part attribuée à un autre poste, les travaux habituels s’élèvent désormais à 106 % ! Enfin, s’agissant de l’exigibilité, l’enquêtrice a considéré qu’une aide de la mère de la recourante était exigible à hauteur de 10 % pour les soins aux enfants et à 10 % pour l’alimentation. Or, elle semble avoir ajouté une exigibilité supplémentaire de 5 % dans ses conclusions. Ainsi, compte tenu de leurs carences, les enquêtes ménagères doivent se voir dénier toute valeur probante. La cause devra donc être renvoyée à l’intimé pour mise en œuvre d’une nouvelle enquête ménagère portant sur la période du 4 décembre 2011 au 21 décembre 2012, puis à compter du 22 décembre 2012, date de la reprise par la recourante de son activité professionnelle.</w:t>
      </w:r>
    </w:p>
    <w:p>
      <w:r>
        <w:t>A/2603/2014 - 30/31 -</w:t>
      </w:r>
    </w:p>
    <w:p>
      <w:r>
        <w:rPr>
          <w:b/>
        </w:rPr>
        <w:t>E. 14</w:t>
      </w:r>
    </w:p>
    <w:p>
      <w:r>
        <w:t>Par ailleurs, l’intimé a retenu que la recourante ne présentait aucune perte de gain dans la sphère lucrative, étant donné qu’elle avait pu reprendre son activité à 50 %. On notera toutefois qu’il ressort des indications de l’employeur du 7 juillet 2011 que la recourante assumait avant son accident la maîtrise d’une classe, ce qui lui valait un supplément de salaire mensuel de CHF 350.-. La recourante a affirmé qu’elle n’était plus en mesure d’assumer cette responsabilité depuis l’accident, et une telle charge pourrait effectivement tomber sous le coup des limitations définies par le Dr G______ dans son certificat du 24 février 2014. Compte tenu de ce qui précède, l’intimé devra également déterminer si c’est pour des motifs médicaux que la recourante n’a pu assurer de maîtrise de classe, cette perte de revenu devant, dans l’affirmative, également être prise en considération dans le nouveau calcul d’invalidité qu’il établira.</w:t>
      </w:r>
    </w:p>
    <w:p>
      <w:r>
        <w:rPr>
          <w:b/>
        </w:rPr>
        <w:t>E. 15</w:t>
      </w:r>
    </w:p>
    <w:p>
      <w:r>
        <w:t>Enfin, la décision que l’intimé sera appelé à rendre devra également tenir compte de ce qui suit. Vu la modification réglementaire relative à l'évaluation de l'invalidité des assurés exerçant une activité lucrative à temps partiel entrée en vigueur le 1er janvier 2018 (art. 27bis al. 2 à 4 RAI), il appartiendra à l'intimé d'évaluer le degré d'invalidité de la recourante selon l'ancienne méthode mixte pour la période courant jusqu'au 31 décembre 2017 et selon la nouvelle méthode mixte pour la période à compter du 1er janvier 2018. Par ailleurs, selon l’art. 88a al. 1 RAI,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Par conséquent, la modification du degré d’invalidité ne prendra ainsi effet qu’à l’écoulement du délai de trois mois à partir de la reprise effective de son activité professionnelle par la recourante.</w:t>
      </w:r>
    </w:p>
    <w:p>
      <w:r>
        <w:rPr>
          <w:b/>
        </w:rPr>
        <w:t>E. 16</w:t>
      </w:r>
    </w:p>
    <w:p>
      <w:r>
        <w:t>Eu égard à ce qui précède, le recours est partiellement admis. La recourante obtenant gain de cause, elle a droit à des dépens qui seront fixés à CHF 3'500.- (art. 61 let. g LPGA; art. 89 H de la loi sur la procédure administrative du 12 septembre 1985 [LPA - E 5 10]; art. 6 du règlement sur les frais, émoluments et indemnités en procédure administrative du 30 juillet 1986 [RFPA - E 5 10.03]). La procédure en matière d’assurance-invalidité n'étant pas gratuite (art. 69 al. 1bis LAI), l’intimé sera condamné au paiement d’un émolument de CHF 500.-.</w:t>
      </w:r>
    </w:p>
    <w:p>
      <w:r>
        <w:t>A/2603/2014 - 31/31 -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