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ATAS/443/2016 vom 26. Mai 2016</w:t>
      </w:r>
    </w:p>
    <w:p>
      <w:r>
        <w:t>GE Cour de justice, 2016-05-26, FR</w:t>
      </w:r>
    </w:p>
    <w:p>
      <w:r>
        <w:rPr>
          <w:b/>
        </w:rPr>
        <w:t xml:space="preserve">Quelle: </w:t>
      </w:r>
      <w:r>
        <w:t>https://mcp.opencaselaw.ch/entscheid/ge_gerichte_ATAS_443_2016</w:t>
      </w:r>
    </w:p>
    <w:p>
      <w:r>
        <w:t>FR: GE_GERICHTE ATAS/443/2016 du 26 mai 2016</w:t>
      </w:r>
    </w:p>
    <w:p>
      <w:r>
        <w:t>IT: GE_GERICHTE ATAS/443/2016 del 26 maggio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les forme et délai prévus par la loi, le recours est recevable, en vertu des art. 56ss LPGA.</w:t>
      </w:r>
    </w:p>
    <w:p>
      <w:r>
        <w:rPr>
          <w:b/>
        </w:rPr>
        <w:t>E. 5</w:t>
      </w:r>
    </w:p>
    <w:p>
      <w:r>
        <w:t>Le litige porte sur le droit de l’assurée à une rente d’invalidité.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w:t>
      </w:r>
    </w:p>
    <w:p>
      <w:r>
        <w:t>A/3144/2014 - 12/18 - a incapacité de gain que si celle-ci n’est pas objectivement surmontable (al. 2, en vigueur dès le 1er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En l’occurrence, l’experte rhumatologue a retenu le diagnostic de fibromyalgie (versus trouble somatoforme douloureux), formellement contesté par la recourante.</w:t>
      </w:r>
    </w:p>
    <w:p>
      <w:r>
        <w:rPr>
          <w:b/>
        </w:rPr>
        <w:t>E. 8</w:t>
      </w:r>
    </w:p>
    <w:p>
      <w:r>
        <w:t>C’est le lieu de rappeler que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9</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w:t>
      </w:r>
    </w:p>
    <w:p>
      <w:r>
        <w:t>A/3144/2014 - 13/18 -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la personne assurée (ATF 130 V 352). Mais dans un arrêt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dû convenir que la présomption du caractère surmontable retenue jusqu’alors s’opposait à une investigation complète des circonstances déterminantes pour l’incapacité de travail. Au surplus, la présomption favorisait la conception que le caractère surmontable était indivisible, de sorte que seule une incapacité de travail entière pouvait entrer en considération (arrêt op. cit. consid. 3.4.2). Fort de ce constat,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10</w:t>
      </w:r>
    </w:p>
    <w:p>
      <w:r>
        <w:t>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Les experts doivent donc donner des explications quant au diagnostic, afin d’établir le caractère de maladie, mais également quant aux atteintes concrètes des fonctions nécessaires à la gestion du quotidien, lesquelles seront aussi reprises dans l’estimation de la capacité de travail. A cet égard, il ne faut inclure dans la « preuve cohérente d’une activité et d’une participation perturbées » que des déficits</w:t>
      </w:r>
    </w:p>
    <w:p>
      <w:r>
        <w:t>A/3144/2014 - 14/18 -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 Il convient également que les experts se prononcent sur l’existence ou non d’une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11</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w:t>
      </w:r>
    </w:p>
    <w:p>
      <w:r>
        <w:t>A/3144/2014 - 15/18 -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S’agissant en particulier des troubles moteurs dissociatifs, le TF a confirmé a plusieurs reprise sa jurisprudence, notamment dans plusieurs arrêts de principe (cf. ATF 140 V 8 consid. 2.2.1.3 p. 13 s.; 137 V 64 consid. 4.2 p. 68; 136 V 279 consid. 3.2.1 p. 282 ; cf. également arrêt 8C_607/2015 du 3 février 2016).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Ces indicateurs peuvent être systématisés de la manière suivante : Catégorie « degré de gravité fonctionnel »</w:t>
      </w:r>
    </w:p>
    <w:p>
      <w:r>
        <w:t>- complexe « atteinte à la santé » : • expression des éléments pertinents pour le diagnostic • succès du traitement et de la réadaptation ou résistance à cet égard • comorbidités</w:t>
      </w:r>
    </w:p>
    <w:p>
      <w:r>
        <w:t>- complexe « personnalité » : diagnostic de la personnalité, ressources personnelles</w:t>
      </w:r>
    </w:p>
    <w:p>
      <w:r>
        <w:t>- complexe « contexte social » Catégorie « cohérence » (comportement)</w:t>
      </w:r>
    </w:p>
    <w:p>
      <w:r>
        <w:t>- limitation uniforme du niveau des activités dans tous les domaines de la vie</w:t>
      </w:r>
    </w:p>
    <w:p>
      <w:r>
        <w:t>- poids des souffrances révélé par l’anamnèse (cf. traitements et réadaptation)</w:t>
      </w:r>
    </w:p>
    <w:p>
      <w:r>
        <w:rPr>
          <w:b/>
        </w:rPr>
        <w:t>E. 12</w:t>
      </w:r>
    </w:p>
    <w:p>
      <w:r>
        <w:t>En l’espèce, l’experte rhumatologue a rendu un rapport basé sur une documentation complète et des diagnostics précis, comportant une discussion convaincante des diagnostics retenus et apportant des réponses motivées, exhaustives et sans équivoque aux questions posées. Elle peut donc se voir reconnaître pleine valeur probante. Le diagnostic de fibromyalgie contesté par la recourante a été évoqué de manière non catégorique par l’experte - qui a mentionné un différentiel avec un trouble somatoforme douloureux - en raison des douleurs diffuses invoquées, sans substrat organique, étant précisé que le centre de la douleur avait évoqué 17 points positifs sur 18. Si l’on retient un tel diagnostic, les conditions permettant de lui reconnaitre un caractère invalidant ne sont clairement pas réunies au vu des ressources dont dispose la recourante, décrite comme « à fort potentiel » par la division de</w:t>
      </w:r>
    </w:p>
    <w:p>
      <w:r>
        <w:t>A/3144/2014 - 16/18 - réadaptation de l’intimé, ce que corroborent les observations de l’expert psychiatre, qui n’a pas décelé la moindre anxiété ou dépression. On ajoutera que l’assurée dispose d’une bonne intégration sociale, qu’elle ne rencontre aucun problème de personnalité et que les traitements mis en œuvre ont finalement porté leurs fruits puisque le médecin traitant a fait état d’une amélioration certaine. La recourante se contente en réalité de contester le diagnostic de fibromyalgie posé par l’experte rhumatologue sans démontrer en quoi les conclusions de celle-ci concernant sa capacité de travail seraient erronées. A cet égard, force est de constater que l’experte rhumatologue a bel et bien examiné toutes les atteintes somatiques mises en évidence par le dossier médical et argumenté avec précision les raisons qui la conduisaient à ne pas retenir de limitations : - s’agissant des poignets, elle a constaté un status post-opératoire calme et sans interférence avec la pratique de l’enseignement de la langue des signes ; - au niveau de l’épaule droite, elle a souligné l’absence de signes de tendinite de la coiffe, de bursite ou de conflit sous-acromial évident et de limitations en termes de force ou d’amplitude ; - concernant le coude gauche, si les examens montraient des éléments en faveur d’une épicondylite médiale et latérale, celle-ci était modérée, l’experte a noté qu’il n’y avait ni bursite de voisinage, ni rupture tendineuse ; - s’agissant des lombalgies basses, elle a admis une discopathie assez importante, tout en soulignant l’absence de compression radiculaire ; - au niveau des cervicales, l’experte a relevé l’absence de décompensation de la musculaire satellite ; - quant aux douleurs diffuses décrites en mars 2012, au niveau des membres supérieurs, elle a relevé l’absence de troubles moteurs sensitifs ou réflexes et de lésions radiculaires. Les observations de l’experte sont corroborées notamment par la perplexité dont faisait déjà état le Dr F______ en mars 2012, qui parlait alors de « trouvailles très modestes durant la chirurgie ». La recourante n’amène en particulier aucun élément médical permettant de mettre en doute les conclusions de l’experte. Le Dr L______, dont elle produit les rapports admet lui-même que sa patiente a recouvré sa capacité de travail initiale (80%). Certes, selon lui, cela ne serait le cas que depuis septembre 2014, mais il ne motive pas l’incapacité qu’il reconnaît à sa patiente jusqu’à cette date. Reste le problème des vertiges apparus récemment, en sus du déficit vestibulaire déjà connu depuis 2001. S’il est vrai que l’experte s’est apparemment méprise en considérant qu’il s’agissait-là d’une seule et même problématique, on constatera que le Dr N______ ne fait état d’aucune incapacité de travail en lien avec cette pathologie.</w:t>
      </w:r>
    </w:p>
    <w:p>
      <w:r>
        <w:t>A/3144/2014 - 17/18 - Enfin, les arguments de la recourante quant à l’impossibilité, en dépit des dires de l’experte, à assumer son rôle d’enseignante en langue des signes, ne convainquent pas. A cet égard, on relèvera que l’experte a pu observer que, durant trois heures, l’assurée avait bel et bien pu signer sans problème en position assise, et que le Dr K______ a fait des observations analogues. Quant à l’assertion du Dr L______ selon laquelle le traitement pris par sa patiente aurait des répercussions fonctionnelles en termes de fatigue, elle n’est ni étayée, ni évaluée. En particulier, il n’argue pas que ces répercussions seraient supérieures aux 20% de diminution de rendement admis par la Dresse J______. Qui plus est, il a été établi que le travail sur ordinateur restait possible, moyennant une adaptation de l’assise et une alternance des positions, de sorte que rien ne s’oppose à ce que la recourante poursuive le travail administratif qui constituait déjà par le passé la majeure partie de son taux d’occupation. Eu égard aux considérations qui précèdent, la Cour de céans fait siennes les conclusions de la Dresse J______ selon lesquelles la capacité de travail n’a été de 0% que jusqu’en mars 2012, date à laquelle les atteintes orthopédiques ont laissé la place à des douleurs diffuses sans grand substrat organique. Même en admettant une prolongation de l’incapacité de travail le temps de l’hospitalisation de la recourante, il n’en demeure pas moins que cette incapacité débutée fin juillet 2011 n’aura pas duré une année. Il en va de même de la période d’incapacité consécutive aux opérations des poignets, de novembre 2012 à janvier 2013. Il ressort de ce qui précède que c’est à juste titre que l’intimé a nié à l’assurée le droit à une rente d’invalidité ou à des mesures professionnelles, les activités précédentes étant exigibles de sa part. En revanche, il lui est loisible de s’adresser à l’intimé pour lui demander une aide au placement pour l’accompagner dans ses démarches, qu’il lui appartiendra de motiver. Dès lors, le recours est rejeté. ********</w:t>
      </w:r>
    </w:p>
    <w:p>
      <w:r>
        <w:t>A/3144/2014 - 18/18 -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