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ATAS/442/2022 vom 18. Mai 2022</w:t>
      </w:r>
    </w:p>
    <w:p>
      <w:r>
        <w:t>GE Cour de justice, 2022-05-18, FR</w:t>
      </w:r>
    </w:p>
    <w:p>
      <w:r>
        <w:rPr>
          <w:b/>
        </w:rPr>
        <w:t xml:space="preserve">Quelle: </w:t>
      </w:r>
      <w:r>
        <w:t>https://mcp.opencaselaw.ch/entscheid/ge_gerichte_ATAS_442_2022</w:t>
      </w:r>
    </w:p>
    <w:p>
      <w:r>
        <w:t>FR: GE_GERICHTE ATAS/442/2022 du 18 mai 2022</w:t>
      </w:r>
    </w:p>
    <w:p>
      <w:r>
        <w:t>IT: GE_GERICHTE ATAS/442/2022 del 18 maggio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A/4017/2021 - 7/16 - 2000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En tant qu’elle porte sur le droit aux prestations complémentaires du 1er septembre au 31 décembre 2020, soit une période antérieure à l’entrée en vigueur, le 1er janvier 2021, des modifications des 22 mars, 20 décembre 2019 et 14 octobre 2020, la décision attaquée est soumise à l’ancien droit, en l’absence de dispositions transitoires prévoyant une application rétroactive du nouveau droit. Les dispositions légales pertinentes seront donc citées, ci-après, dans leur teneur en vigueur jusqu’au 31 décembre 2020.</w:t>
      </w:r>
    </w:p>
    <w:p>
      <w:r>
        <w:rPr>
          <w:b/>
        </w:rPr>
        <w:t>E. 4.1</w:t>
      </w:r>
    </w:p>
    <w:p>
      <w:r>
        <w:t>À titre liminaire, la recourante se plaint d’une violation de son droit d’être entendue dans la mesure où la décision litigieuse serait entachée d’un défaut de motivation et reposerait sur une appréciation arbitraire des pièces produites dans le cadre de l’établissement du montant de la fortune et des biens dessaisis.</w:t>
      </w:r>
    </w:p>
    <w:p>
      <w:r>
        <w:rPr>
          <w:b/>
        </w:rPr>
        <w:t>E. 4.2</w:t>
      </w:r>
    </w:p>
    <w:p>
      <w:r>
        <w:t>Ce grief, de nature formelle, doit être examiné en premier lieu (ATF 127 V 431 consid. 3d/aa; ATF 124 V 90 consid. 2 notamment).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w:t>
      </w:r>
    </w:p>
    <w:p>
      <w:r>
        <w:t>A/4017/2021 - 8/16 - lesquels elle a fondé sa décision; elle n’a toutefois pas l’obligation d’exposer et de discuter tous les arguments invoqués par les parties (ATF 129 I 232 consid. 3.2;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w:t>
      </w:r>
    </w:p>
    <w:p>
      <w:r>
        <w:rPr>
          <w:b/>
        </w:rPr>
        <w:t>E. 4.3</w:t>
      </w:r>
    </w:p>
    <w:p>
      <w:r>
        <w:t>En l’occurrence, la violation du droit d’être entendu dans le sens invoqué par la recourante est une question qui n’a pas de portée propre par rapport au grief tiré d’une mauvaise appréciation des preuves (cf.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(ci-après : consid. 9) – ne viole pas le droit d’être entendu selon l’art. 29 al. 2 Cst. (cf. arrêt du Tribunal fédéral des assurances I 157/04 du 22 décembre 2004 consid. 1.2). Aussi le grief tiré d’une violation de ce droit ne peut-il être que rejeté. Il s’ensuit qu’il y a lieu de se pencher sur le fond du litige.</w:t>
      </w:r>
    </w:p>
    <w:p>
      <w:r>
        <w:rPr>
          <w:b/>
        </w:rPr>
        <w:t>E. 5</w:t>
      </w:r>
    </w:p>
    <w:p>
      <w:r>
        <w:t>Le litige porte sur le droit de la recourante aux prestations complémentaires sur la période du 1er septembre au 31 décembre 2020, singulièrement sur les montants retenus au titre de la fortune et des biens dessaisis.</w:t>
      </w:r>
    </w:p>
    <w:p>
      <w:r>
        <w:rPr>
          <w:b/>
        </w:rPr>
        <w:t>E. 6.1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impotente de l’assurance-invalidité (AI) ou perçoivent des indemnités journalières de l’AI sans interruption pendant six mois au moins (art. 4 al. 1 let. c LPC). Les prestations complémentaires fédérales se composent de la prestation complémentaire annuelle et du remboursement des frais de maladie et d’invalidité (art. 3 al. 1 LPC). L’art. 9 al. 1er LPC dispose que le montant de la prestation</w:t>
      </w:r>
    </w:p>
    <w:p>
      <w:r>
        <w:t>A/4017/2021 - 9/16 - complémentaire annuelle correspond à la part des dépenses reconnues qui excède les revenus déterminants.</w:t>
      </w:r>
    </w:p>
    <w:p>
      <w:r>
        <w:rPr>
          <w:b/>
        </w:rPr>
        <w:t>E. 6.2</w:t>
      </w:r>
    </w:p>
    <w:p>
      <w:r>
        <w:t>Selon l’art. 11 al. 1 LPC, les revenus déterminants comprennent notamment le produit de la fortune mobilière et immobilière (let. b), un quinzième de la fortune nette dans la mesure où elle dépasse CHF 37’500.- pour les personnes seules (let. c) et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2ème éd. 2009 p. 163). Il en va de même de l’indemnité versée par une assurance responsabilité civile (cf. RCC 1990, p. 369). L’origine des éléments de fortune n’importe pas (Directives de l’Office fédéral des assurances sociales concernant les prestations complémentaires à l’AVS et à l’AI [ci-après : DPC], état au 1er janvier 2020, ch. 3443.01ss.).</w:t>
      </w:r>
    </w:p>
    <w:p>
      <w:r>
        <w:rPr>
          <w:b/>
        </w:rPr>
        <w:t>E. 6.3</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w:t>
      </w:r>
    </w:p>
    <w:p>
      <w:r>
        <w:t>A/4017/2021 - 10/16 -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 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7.1</w:t>
      </w:r>
    </w:p>
    <w:p>
      <w:r>
        <w:t>Selon l’art. 4 LPCC, ont droit aux prestations complémentaires cantonales les personnes dont le revenu annuel déterminant n’atteint pas le revenu minimum cantonal d’aide sociale applicable.</w:t>
      </w:r>
    </w:p>
    <w:p>
      <w:r>
        <w:t>A/4017/2021 - 11/16 - Aux termes de l’art. 5 LPCC, le revenu déterminant est calculé conformément aux règles fixées dans la LPC et ses dispositions d’exécution, moyennant certaines adaptations, notamment : les prestations complémentaires fédérales sont ajoutées au revenu déterminant (let. a) et, en dérogation à l’art. 11 a. 1 let. c LPC, la part de la fortune nette prise en compte dans le calcul du revenu déterminant est de un huitième, respectivement de un cinquième pour les bénéficiaires rentes de vieillesse, et ce après déduction (1) des franchises prévues par cette disposition et (2) du montant des indemnités en capital obtenues à titre de dommages et intérêts en réparation d’un préjudice corporel, y compris l’indemnisation éventuelle du tort moral (let. c).</w:t>
      </w:r>
    </w:p>
    <w:p>
      <w:r>
        <w:rPr>
          <w:b/>
        </w:rPr>
        <w:t>E. 7.2</w:t>
      </w:r>
    </w:p>
    <w:p>
      <w:r>
        <w:t>En tant qu’il exclut du revenu déterminant le montant des indemnités en capital obtenues à titre de dommages et intérêts en réparation d’un préjudice corporel, y compris l’indemnisation éventuelle du tort moral, l’art. 5 let. c ch. 2 LPCC reprend mot pour mot les termes de la loi du 6 octobre 1989, modifiant la loi sur les prestations en faveur des personnes âgées, des veuves, des orphelins et des invalides du 25 octobre 1968 (LAPA – J 9 7). Il ressort de la « préconsultation » ayant eu lieu le 6 octobre 1989 au Grand Conseil, plus précisément des explications données par l’un(e) des coauteur(e)s de la modification précitée du 6 octobre 1989, Madame Micheline CALMY-REY, alors députée de ce parlement, que : « Vous connaissez très certainement le cas de cette personne qui, après six ans de procédure, a reçu CHF 200’000.- d’indemnité de l’État. Avec le système actuel, l’indemnité censée réparer le dommage lui est en quelque sorte retirée par tranches successives. De plus, les prestations complémentaires qu’elle a obtenues jusque-là ne lui seront plus versées, ses ressources devenant trop importantes si elles sont augmentées d’une part d’indemnité. Le résultat est évidemment choquant et notre projet demande en conséquence que les parts de fortune provenant d’indemnités soient exclues du calcul des ressources » (cf. Mémorial du Grand Conseil 1989, vol. V, pp. 6287-6288).</w:t>
      </w:r>
    </w:p>
    <w:p>
      <w:r>
        <w:rPr>
          <w:b/>
        </w:rPr>
        <w:t>E. 7.3</w:t>
      </w:r>
    </w:p>
    <w:p>
      <w:r>
        <w:t>En tant que l’art. 5 let. c LPCC emploie le terme « préjudice corporel », il y a lieu de préciser que selon que le bien atteint a une valeur patrimoniale ou, au contraire, une valeur personnelle (ou extrapatrimoniale), la victime subit, dans le premier cas, une diminution de son patrimoine, soit un dommage au sens propre, et dans le second, une diminution de son bien-être, soit un tort moral. En droit de la responsabilité civile, le terme « préjudice » recouvre donc à la fois les notions de dommage et de tort moral (Franz WERRO, La responsabilité civile, 2005, p. 18, n. 38 ; Henri DESCHENAUX, Pierre TERCIER, la responsabilité civile, 2ème éd. 1982, p. 39, n. 15). Lorsqu’il prend la forme d’une perte patrimoniale résultant d’une atteinte à la vie ou à l’intégrité physique ou psychique de la victime, le dommage est dit « corporel ». Les postes du dommage corporel sont les frais consécutifs aux lésions corporelles, le dommage actuel consécutif à l’incapacité de travail (perte de gain actuelle) et/ou à l’incapacité d’exercer une</w:t>
      </w:r>
    </w:p>
    <w:p>
      <w:r>
        <w:t>A/4017/2021 - 12/16 - activité ménagère (dommage ménager) ainsi que le dommage consécutif à l’atteinte portée à l’avenir économique (Franz WERRO, op. cit., n. 59, n. 996ss).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9.1</w:t>
      </w:r>
    </w:p>
    <w:p>
      <w:r>
        <w:t>Dans la décision (initiale) du 20 octobre 2020, l’intimé a évalué le montant de l’épargne à CHF 317’516.33, la valeur de rachat d’une assurance-vie souscrite par la recourante à CHF 7’581.50 et, enfin, le montant des biens dessaisis à hauteur de CHF 310’025.15, obtenant ainsi une fortune de CHF 635’122.98, correspondant à un revenu de CHF 39’841.55 pour les PCF et à CHF 74’702.85 pour les PCC. Suite à la production par la recourante, au stade de l’opposition, des extraits de ses comptes postaux et d’autres pièces attestant de dépenses effectuées, l’intimé a néanmoins retenu un montant de biens dessaisis de CHF 62’146.99 pour 2016, CHF 26’345.63 pour 2017 et CHF 25’636.57 pour 2018, lui permettant ainsi de retenir un total de bien dessaisis qui (après amortissement à concurrence de CHF 10’000.- l’an), se montait à CHF 84’129.30 pour la période de calcul du 1er septembre au 31 décembre 2020. L’intimé n’explique toutefois ni dans la décision litigieuse, ni dans le mémoire-réponse du 25 novembre 2021 (qui</w:t>
      </w:r>
    </w:p>
    <w:p>
      <w:r>
        <w:t>A/4017/2021 - 13/16 - renvoie simplement à cette dernière), sur quelles bases il a retenu les montants dessaisis précités pour les années 2016 à 2018. De même, il n’indique pas davantage pour quels motifs il a maintenu, sur opposition, un montant de CHF 317’516.33 à titre d’épargne, en dépit des explications données par la recourante sur l’erreur que comportait sa déclaration fiscale 2019 en tant qu’elle mentionnait un solde de CHF 81’758.- au 31 décembre 2019 pour le compte IBAN CH 2______ , malgré la clôture de celui-ci le 25 avril 2019. La recourante soutient pour sa part que la décision litigieuse serait également en contradiction avec celle du 13 juillet 2016 s’agissant du montant des biens dessaisis. Bien que ce point de vue ne soit pas pertinent, compte tenu des périodes différentes prises en compte pour le dessaisissement dans l’une et l’autre décision, la chambre de céans n’en constate pas moins qu’en se fondant, comme requis, sur la fortune arrêtée au 31 décembre de l’année civile précédant l’année pour laquelle les PC sont servies (cf. la p. 8 du formulaire de demande de PC du 4 septembre 2020 ; pièce 11 intimé ; cf. ég. DPC, ch. 3413.01), soit au 31 décembre 2019, l’épargne n’atteignait, à cette date, ni le montant de CHF 317’516.33 indiqué dans les plans de calculs de la décision attaquée, ni celui de CHF 294’324.- indiqué dans la déclaration fiscale 2019 (pièce 13 intimé). Il ressort en effet des relevés de compte transmis par la recourante (pièces 15 à 17 intimé) que le compte IBAN CH 2______, qui présentait un solde de CHF 83’1601.48 au 31 décembre 2018, a été clôturé le 29 avril 2019 et que son solde de CHF 81’758.42 a été transféré le même jour sur le compte IBAN CH 1______, lequel présentait un solde de CHF 74’500.- au 31 décembre 2019. Il s’ensuit qu’en ajoutant encore à celui-ci le solde de CHF 1’566.- du compte IBAN CH 3______ et les créances résultant de prêts accordés à Mme C______ (CHF 70'000.-) et à M. B______ (CHF 65’000.-), la déclaration fiscale 2019 et l’avis de taxation correspondant (pièce 13 intimé) mentionnent effectivement, par erreur, un excédent de CHF 81’758.- sur les comptes de la recourante. Aussi ces documents doivent-ils être compris en ce sens que la fortune mobilière (intitulée « épargne » dans les plans de calcul de l’intimé) se montait à CHF 212’566.- au 31 décembre 2019.</w:t>
      </w:r>
    </w:p>
    <w:p>
      <w:r>
        <w:rPr>
          <w:b/>
        </w:rPr>
        <w:t>E. 9.2</w:t>
      </w:r>
    </w:p>
    <w:p>
      <w:r>
        <w:t>Sous l’angle des PCF, il n’apparaît néanmoins pas nécessaire d’interpeller l’intimé sur les montants litigieux que celui-ci a retenus au titre de l’épargne et du dessaisissement pour les motifs suivants : à l’examen des plans de calcul annexés à la décision litigieuse, qui ne sont contestés que pour le montant de l’épargne (CHF 317’516.33) et celui des biens dessaisis (CHF 84’129.20), il s’avère que même en retenant un montant de CHF 212’566.- au titre de l’épargne (consid. 9.1 in fine), majoré de la valeur de rachat de l’assurance-vie au 31 décembre 2019 (CHF 7’581.50) et en ne tenant compte d’aucun bien dessaisi, la fortune, une fois convertie en revenu déterminant, s’élèverait tout de même à CHF 12’176.50 (soit CHF 220’147.50 sous déduction de CHF 37’500.- et prise en compte du solde pour un 1/15) et les intérêts de l’épargne à CHF 69.52 en lieu et place de</w:t>
      </w:r>
    </w:p>
    <w:p>
      <w:r>
        <w:t>A/4017/2021 - 14/16 - CHF 103.85 (en appliquant le même taux que l’intimé). Une fois ces correctifs apportés, le total du revenu déterminant, qui s’élèverait ainsi à CHF 51’585.87 (soit la somme provenant de l’addition de CHF 14’220.- pour les rentes AI, CHF 25’119.85 pour les revenus, CHF 12’176.50 pour la part de fortune prise en considération et CHF 69.52 pour les intérêts de l’épargne), continuerait à dépasser assez nettement les dépenses reconnues, celles-ci s’élevant à CHF 36’250.-. Ainsi, la recourante ne pourrait de toute manière pas prétendre à des PCF sur la période de calcul litigieuse.</w:t>
      </w:r>
    </w:p>
    <w:p>
      <w:r>
        <w:rPr>
          <w:b/>
        </w:rPr>
        <w:t>E. 9.3</w:t>
      </w:r>
    </w:p>
    <w:p>
      <w:r>
        <w:t>Sous l’angle des PCC, il sied de rappeler à titre liminaire que contrairement à ce qui est le cas pour les PCF, une indemnité qui est versée par une assurance responsabilité civile en compensation d’un préjudice corporel subi par la victime n’est pas comptabilisée dans la fortune de cette dernière (cf. ci-dessus : consid. 6.2 et 7). En l’occurrence, il ressort du courrier du 3 juin 2015 de l’intéressée à l’AFC et de la « convention de règlement » du 16 mars 2015 (pièce 10 intimé) qu’à la suite de l’accident du 29 décembre 2004 ayant causé la paraplégie de la recourante, l’assureur responsabilité civile – du détenteur et du conducteur ayant perdu la maîtrise du véhicule impliqué dans l’accident – a versé à l’intéressée la somme de CHF 1’429’000.- d’abord sous forme d’avances à hauteur de CHF 579’000.- entre 2005 et 2014 puis CHF 850’000.- en 2015 « pour solde de compte aux titres de : perte de gain et atteinte à l’avenir économique, dommage ménager, tort moral, frais médicaux et divers », ce qui, sous réserve de précisions à obtenir pour le poste « divers », correspond aux postes entrant dans la notion de préjudice corporel visée par l’art. 5 let. c LPCC (cf. ci-dessus : consid. 7.3). On relève encore que selon l’intimé, la recourante possédait un montant de CHF 637’954.- sous forme d’épargne au 31 décembre 2015. Or, au cas où cette dernière, et ce qu’il en restait au 31 décembre 2019, proviendraient du solde de la réparation du préjudice corporel versé en 2015, il conviendrait de ne comptabiliser ni l’épargne correspondante ni son dessaisissement au titre de la fortune déterminante pour les PCC, contrairement à ce qui est le cas dans la décision attaquée (mais aussi dans la décision [en force] du 3 décembre 2015 en tant que celle-ci déduit uniquement l’indemnité pour tort moral de CHF 150'000.- et non les autres postes du préjudice corporel de la fortune). Dès lors que le dossier ne comprend pas d’informations suffisantes au sujet de l’hypothèse précitée émise sur l’origine des fonds au 31 décembre 2019, dont la réalisation pourrait être décisive pour le droit de la recourante aux PCC du 1er septembre au 31 décembre 2020, la décision litigieuse sera annulée et la cause renvoyée à l’intimé pour instruction complémentaire au sens des considérants et nouvelle décision.</w:t>
      </w:r>
    </w:p>
    <w:p>
      <w:r>
        <w:rPr>
          <w:b/>
        </w:rPr>
        <w:t>E. 10</w:t>
      </w:r>
    </w:p>
    <w:p>
      <w:r>
        <w:t>Compte tenu de ce qui précède, le recours est partiellement admis, la décision sur opposition du 25 octobre 2021 annulée et la cause renvoyée à l’intimé pour instruction complémentaire au sens des considérants et, cela fait, nouvelle décision.</w:t>
      </w:r>
    </w:p>
    <w:p>
      <w:r>
        <w:t>A/4017/2021 - 15/16 -</w:t>
      </w:r>
    </w:p>
    <w:p>
      <w:r>
        <w:rPr>
          <w:b/>
        </w:rPr>
        <w:t>E. 11</w:t>
      </w:r>
    </w:p>
    <w:p>
      <w:r>
        <w:t>Étant donné que la recourante obtient partiellement gain de cause, une indemnité de CHF 1’500.- lui sera accordée à titre de participation à ses frais et dépens, à charge de l’intimé (art. 61 let. g LPGA ; art. 89H al. 3 LPA ; art. 6 du règlement sur les frais, émoluments et indemnités en procédure administrative du 30 juillet 1986 – RFPA ; RS E 5 10.03). Pour le surplus, la procédure est gratuite (art. 61 LPGA et 89H al. 1 LPA).</w:t>
      </w:r>
    </w:p>
    <w:p>
      <w:r>
        <w:t>*****</w:t>
      </w:r>
    </w:p>
    <w:p>
      <w:r>
        <w:t>A/4017/2021 - 16/16 -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