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ATAS/442/2013 vom 8. Mai 2013</w:t>
      </w:r>
    </w:p>
    <w:p>
      <w:r>
        <w:t>GE Cour de justice, 2013-05-08, FR</w:t>
      </w:r>
    </w:p>
    <w:p>
      <w:r>
        <w:rPr>
          <w:b/>
        </w:rPr>
        <w:t xml:space="preserve">Quelle: </w:t>
      </w:r>
      <w:r>
        <w:t>https://mcp.opencaselaw.ch/entscheid/ge_gerichte_ATAS_442_2013</w:t>
      </w:r>
    </w:p>
    <w:p>
      <w:r>
        <w:t>FR: GE_GERICHTE ATAS/442/2013 du 8 mai 2013</w:t>
      </w:r>
    </w:p>
    <w:p>
      <w:r>
        <w:t>IT: GE_GERICHTE ATAS/442/2013 del 8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A/3170/2012 - 10/18 -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une rente d’invalidité, singulièrement sur la valeur probante du rapport du CEMED.</w:t>
      </w:r>
    </w:p>
    <w:p>
      <w:r>
        <w:rPr>
          <w:b/>
        </w:rPr>
        <w:t>E. 6</w:t>
      </w:r>
    </w:p>
    <w:p>
      <w:r>
        <w:t>A titre liminaire, il y a lieu de constater que dans sa réponse du 19 novembre 2012, l’intimé conclut au renvoi du dossier pour instruction complémentaire. Cela étant, dans la mesure où le recourant persiste dans ses conclusions et qu’il conteste notamment la valeur probante du rapport du CEMED du 10 février 2012, il y a lieu d’examiner cette question avant un éventuel renvoi à l’intimé.</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A/3170/2012 - 11/18 -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t>A/3170/2012 - 12/18 -</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A/3170/2012 - 13/18 -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t>A/3170/2012 - 14/18 -</w:t>
      </w:r>
    </w:p>
    <w:p>
      <w:r>
        <w:rPr>
          <w:b/>
        </w:rPr>
        <w:t>E. 11</w:t>
      </w:r>
    </w:p>
    <w:p>
      <w:r>
        <w:t>En l’espèce, l’OAI s’est fondé sur le rapport du CEMED et l’avis du SMR quant à la durée de l’incapacité de travail pour nier, dans la décision querellée, le droit du recourant à toute rente d’invalidité. Il y a donc lieu d’examiner la valeur probante de ces pièces médicales du dossier. a) Si le rapport du CEMED du 10 février 2012 répond certes à certains réquisits jurisprudentiels, il n’en demeure pas moins qu’il comprend de nombreuses incohérences et contradictions, dont notamment les suivantes : − Le rapport du CEMED ne contient pas d’anamnèse psychique détaillée, indiquant laconiquement « antécédents psychiques personnels : cf. dossier » (expertise p. 7). Les experts précisent d’ailleurs qu’« il n’a pas été possible, lors de la présente expertise, d’obtenir une anamnèse sur [l’état dépressif mentionné dès fin septembre 2008], notamment la chronologie des troubles ». Cela étant, au vu des rapports très détaillés du Dr L_________ qui ont été transmis aux experts, il est étonnant que ces derniers n’aient pas été en mesure d’effectuer une anamnèse psychique détaillée, ce d’autant plus qu’il leur suffisait de téléphoner au Dr L_________ pour obtenir, le cas échéant, des compléments d'information. − Le rapport d’expertise donne l’impression que le recourant est totalement incapable de travail depuis le mois d’octobre 2008. Or, tel n’est pas le cas dans la mesure où son incapacité de travail a été attestée de la manière suivante par le Dr L_________ : 100% du 21 octobre 2008 au 31 mars 2009, 50% du 1er avril au 19 juin 2009, 100% du 20 juin au 13 juillet 2009 et à nouveau 50% du</w:t>
      </w:r>
    </w:p>
    <w:p>
      <w:r>
        <w:rPr>
          <w:b/>
        </w:rPr>
        <w:t>E. 14</w:t>
      </w:r>
    </w:p>
    <w:p>
      <w:r>
        <w:t>septembre 2009 au 31 août 2010 au moins. Dans le même ordre d’esprit, le rapport du CEMED donne l’impression que le recourant a participé au stage d’observation personnelle alors qu’il était totalement incapable de travailler. Or, tel n’était à l’évidence pas le cas dès lors que selon les notes de l’OAI, l’OCE lui reconnaissait une capacité de travail de 50% jusqu’au mois de mars 2011. − Les experts indiquent également que l’entretien était difficile, le recourant ne se souvenant pratiquement pas des dates et étant très flou dans ses explications. Il était ainsi incapable de dire depuis quand il était en Suisse ni quels médicaments il prend (expertise p. 4, voir également p. 7). Il ne pouvait préciser ses affections médicales en dehors de ses douleurs et de sa fatigue (expertise p. 7). Lorsque des questions précises lui étaient posées, il ne parvenait pas à donner de réponses ou détournait la question (expertise p. 9). Au vu des éléments répertoriés par les experts, on comprend dès lors mal comme ceux-ci peuvent considérer que le recourant ne présente pas de problème majeur de mémoire (expertise p. 9), ce d’autant plus qu’ils n’ont pas</w:t>
      </w:r>
    </w:p>
    <w:p>
      <w:r>
        <w:t>A/3170/2012 - 15/18 - procédé à des tests de mémoire comme le relève à juste titre le Dr L_________ dans son courrier du 14 octobre 2012. − Dans leur rapport du 10 février 2012, les experts font état du peu de traitement dont le recourant a bénéficié sur le plan psychique (expertise p. 11). Cependant, force est de constater, à la lecture des rapports circonstanciés du Dr L_________ fort détaillés, que le recourant a fait l’objet d’un suivi psychiatrique régulier ainsi que d’un traitement médicamenteux, adapté à plusieurs reprises en fonction de son état de santé. − Les experts considèrent, sans donner la moindre explication, que les certificats d’incapacité établis par le Dr L_________ pouvaient être pris en considération pendant 18 mois au plus. Cependant, compte tenu du caractère très détaillé des rapports intermédiaires établis par le psychiatre-traitant et notamment de la description des symptômes présentés par le recourant, on comprend mal les motifs pour lesquels son appréciation ne serait valable que pendant 18 mois au maximum. Au vu de ces éléments, force est de constater que le rapport du CEMED ne répond pas aux réquisits jurisprudentiels pour lui reconnaître une pleine valeur probante. A cela s’ajoute le fait que certaines remarques formulées par le Dr L_________ dans son courrier du 14 octobre 2014, et notamment celles concernant les éléments constitutifs d’un état dépressif ou d’un état anxieux, mentionnés par les experts mais non pris en considération dans leur appréciation finale, permettent de douter sérieusement des conclusions émises par les experts du CEMED. b) Quant au rapport du SMR du 2 août 2012, selon lequel la capacité de travail médico-théorique du recourant serait de 100% dès le 10 février 2009, il ne peut être pris en considération. En effet, le SMR fonde son appréciation sur une phrase tirée du rapport du Dr L_________ du 4 août 2009 (« les symptômes persistent, mais à un degré bien moindre et désormais très fluctuant, certains jours l’assuré est guéri à 80%, d’autres à 30%, cela se reflète au status qui est redevenu quasiment normal ») ainsi que sur les constatations selon lesquelles l’amélioration de l’état de santé se confirmait au cours des mois (rapport du Dr L_________ du 1er avril 2010) et la situation restait globalement stationnaire (rapport du Dr L_________ du 10 mars 2011). Force est toutefois de constater que si une amélioration a été constatée lors du rendez-vous du 10 février 2009, les symptômes persistaient malgré tout, même si cela était à un degré bien moindre. Ils étaient en outre très fluctuants, le recourant paraissant guéri à 80% certains jours et d’autres à 30%. On ne saurait ainsi considérer que les symptômes dépressifs avaient totalement disparu. En outre, ce n’est pas parce que l’état de santé s’améliore qu’on peut considérer, sans autre examen, qu’une personne est à nouveau totalement apte à travailler. Le législateur</w:t>
      </w:r>
    </w:p>
    <w:p>
      <w:r>
        <w:t>A/3170/2012 - 16/18 - en était d’ailleurs conscient dans la mesure où il a prévu que l’aggravation ou l’amélioration de l’état de santé d’un assuré devait avoir duré pendant trois mois au moins pour qu’une rente versée soit augmentée ou, au contraire, diminuée. Par ailleurs, dans la mesure où l’amélioration, à laquelle le Dr L_________ faisait référence dans son rapport du 4 août 2009, a perduré, le recourant a été considéré comme étant apte à travailler à 50% dès le 1er avril 2009, et l’état dépressif est passé de sévère (rapport du 27 janvier 2008 [recte 2009] du Dr L_________) à moyen (rapport du 4 août 2009 du Dr L_________). Cela étant, l’amélioration de l’état de santé du recourant, qui était tout de même encore très fluctuant, ne signifie pas encore rémission – même partielle – avec pleine capacité de travail. Par conséquent, en l’absence d’autres éléments, l’avis du SMR n’est pas convaincant et ne saurait être pris en considération. c) Enfin, s’agissant des rapports du Dr L_________, s’ils sont certes très détaillés et précis, répondant ainsi à la majeure partie des réquisits jurisprudentiels pour leur reconnaître une pleine valeur probante, ils comportent cependant certaines contradictions et ne permettent pas de définir, à tout le moins depuis le mois de septembre 2011, l’importance de l’incapacité de travail du recourant. En effet, parfois les appréciations de la capacité de travail diffèrent selon le destinataire du certificat. Si le Dr L_________ a attesté d’une capacité de travail partielle (50%) pour la période du 14 septembre 2009 au 31 août 2010 dans les certificats adressés à l’OCE (vraisemblablement pour permettre au recourant de bénéficier des cours de français), son appréciation n’était pas identique dans les rapports destinés à l’OAI. Ainsi, par exemple, dans son rapport du 1er avril 2010, le Dr L_________ a attesté d’une totale incapacité de travailler. Il en va de même de la période courant jusqu’au mois de mars 2011. En outre, si le diagnostic principal a changé entre janvier 2009 (état dépressif d’intensité sévère) et août 2009 (état dépressif d’intensité moyenne), l’évaluation de la capacité de travail est restée identique (incapacité totale de travailler, étant précisé qu’une brève période de capacité de travail partielle (du 1er avril au 19 juin 2009) a toutefois été reconnue). On peine ainsi à comprendre, sans autre explication, les motifs qui ont permis au psychiatre- traitant d’admettre une amélioration dans l’état de santé du recourant (diminution de l’intensité de l’état dépressif), alors même que la capacité de travail est restée identique. d) Compte tenu des considérations qui précèdent, il ne fait aucun doute que l’état de faits n’est pas suffisamment élucidé, ce d’autant plus que les médecins du SMR ont reconnu qu’une aggravation de l’état de santé du recourant (séjour au CAPPI de la Servette puis à Belle-Idée) avait été rendue plausible. Dans un tel cas et compte tenu des conclusions de l’intimé, il y a lieu de lui renvoyer le dossier pour instruction complémentaire, notamment sous la forme d’une nouvelle expertise psychiatrique, confiée à des experts indépendants. Ladite</w:t>
      </w:r>
    </w:p>
    <w:p>
      <w:r>
        <w:t>A/3170/2012 - 17/18 - expertise devra respecter les principes posés à l’ATF 137 V 210 ainsi que les Lignes directrices de qualité des expertises psychiatriques dans le domaine de l’Assurance-Invalidité (édictées en février 2012), applicables conformément à la Lettre circulaire AI n° 313 du 6 juin 2012, et porter sur l’état de santé du recourant dès le début du délai de carence. Au vu du délai écoulé depuis le dépôt de la demande (près de quatre ans), l’intimé est invité à procéder à une instruction complémentaire dans les plus brefs délais. 12. Au vu de ce qui précède, le recours sera admis et la décision du 27 septembre 2012 sera annulée. Le recourant obtenant partiellement gain de cause, une indemnité de 1’000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A/3170/2012 - 18/18 -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