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ATAS/442/2008 vom 16. April 2008</w:t>
      </w:r>
    </w:p>
    <w:p>
      <w:r>
        <w:t>GE Cour de justice, 2008-04-16, FR</w:t>
      </w:r>
    </w:p>
    <w:p>
      <w:r>
        <w:rPr>
          <w:b/>
        </w:rPr>
        <w:t xml:space="preserve">Quelle: </w:t>
      </w:r>
      <w:r>
        <w:t>https://mcp.opencaselaw.ch/entscheid/ge_gerichte_ATAS_442_2008</w:t>
      </w:r>
    </w:p>
    <w:p>
      <w:r>
        <w:t>FR: GE_GERICHTE ATAS/442/2008 du 16 avril 2008</w:t>
      </w:r>
    </w:p>
    <w:p>
      <w:r>
        <w:t>IT: GE_GERICHTE ATAS/442/2008 del 16 aprile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Concernant la recevabilité du recours, il convient de relever que la décision litigieuse a été notifiée au mandataire de la recourante sous pli simple. Selon le tampon figurant sur la copie de cette décision produite par la recourante dans la présente procédure, cet acte juridique a été reçu par son mandataire le 27 juin 2007. Partant, il y a lieu de considérer que le recours, posté le 28 août 2007, a été interjeté dans le délai légal de 30 jours, compte de la suspension des délais entre le 15 juillet et le 15 août inclusivement (art. 38 al. 4 let. b LPGA). Le recours respectant également la forme prescrite par la loi, il doit être déclaré recevable.</w:t>
      </w:r>
    </w:p>
    <w:p>
      <w:r>
        <w:rPr>
          <w:b/>
        </w:rPr>
        <w:t>E. 3</w:t>
      </w:r>
    </w:p>
    <w:p>
      <w:r>
        <w:t>La recourante invoque en premier lieu la violation du droit d'être entendu. a) Le droit d’être entendu est une garantie de nature formelle (arrêt du Tribunal fédéral du 24 janvier 2002, cause 2P.256/2001, consid. 2a et les arrêts cités). Sa portée est déterminée en premier lieu par le droit cantonal (art. 41ss de la loi sur la procédure administrative du 12 septembre 1985 - LPA) et le droit administratif spécial (arrêt du Tribunal fédéral du 15 février 2000, cause 1P.742/1999, consid. 3a ; ATF 124 I 49 consid. 3a p. 51 et les arrêts cités). Si la protection prévue par ces lois est insuffisante, ce sont les règles minimales déduites de la Constitution fédérale (Cst.) qui s’appliquent (arrêts du Tribunal fédéral du 24 janvier 2002, cause 2P.256/2001, consid. 2b ; du 14 décembre 2000, cause 1P.545/2000, consid. 2a et les arrêts cités ; B. BOVAY, Procédure administrative, Berne 2000, p. 198). Tel qu’il est garanti par l’art. 29 al. 2 Cst.,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du 9 juillet 2003, cause 2P.77/2003, consid. 2.1 et les arrêts cités). La jurisprudence en matière de droits constitutionnels du Tribunal fédéral a également déduit du droit d’être</w:t>
      </w:r>
    </w:p>
    <w:p>
      <w:r>
        <w:t>A/3265/2007 - 8/14 - entendu le droit d’obtenir une décision motivée. L’autorité n’est toutefois pas tenue de prendre position sur tous les moyens des parties ; elle peut se limiter aux questions décisives. Il suffit, de ce point de vue, que les parties puissent se rendre compte de la portée de la décision prise à leur égard et, le cas échéant, recourir contre elle en connaissance de cause (ATF 126 I 97, consid. 2b p. 102 s.). b) En l'espèce, la recourante reproche à l'intimé de ne pas avoir tenu compte des rapports des Drs E__________ et C__________ et y voit une violation de l'obligation de motiver la décision. Toutefois, le Tribunal de céans constate que ces rapports sont expressément mentionnés à la p. 4 du rapport du 8 novembre 2006 du SMR, sous anamnèse psychosociale et psychiatrique. Par conséquent, les médecins de ce service ont tenu compte de ces avis, sans retenir pour autant leurs conclusions, en ce qui concerne du moins celles du Dr E__________. En effet, le Dr C__________ a attesté une capacité de travail entière sans restriction, même s'il est mentionné dans le rapport du SMR le contraire, probablement en raison d'une erreur de plume. Il est à noter également que le Dr E__________ a admis une capacité de travail de 50 à 75% dans la profession de la recourante, dans l'annexe à son rapport du 29 mars 2005, et de 75% dans son rapport du 13 décembre 2005. Les rapports de ces médecins ne sont donc pas en faveur de celle-ci. Il ne saurait dès lors être reproché à l'intimé de ne pas les avoir pris en considération. Il convient en outre d'admettre que la recourante pouvait se rendre compte de la portée de la décision prise et sur la base de quels éléments celle-ci a été adoptée. Ce grief est ainsi infondé.</w:t>
      </w:r>
    </w:p>
    <w:p>
      <w:r>
        <w:rPr>
          <w:b/>
        </w:rPr>
        <w:t>E. 4</w:t>
      </w:r>
    </w:p>
    <w:p>
      <w:r>
        <w:t>Est litigieuse ensuite la question de savoir si la recourante présente une invalidité au sens de la loi, lui ouvrant le droit aux prestations d'invalidité.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6</w:t>
      </w:r>
    </w:p>
    <w:p>
      <w:r>
        <w:t>Depuis l'entrée en vigueur, le 1er janvier 2004, de la novelle du 21 mars 2003 modifiant la LAI (4ème révision) la teneur de l'art. 28 al. 1 LAI est la suivante : «1. L'assuré a droit à une rente s'il est invalide à 40 % au moins. La rente est</w:t>
      </w:r>
    </w:p>
    <w:p>
      <w:r>
        <w:t>A/3265/2007 - 9/14 - échelonnée comme suit, selon le taux d'invalidité : 40 % au moins un quart, 50 % au moins une demie, 60 % au moins trois-quarts, 70 % au moins rente entière.».</w:t>
      </w:r>
    </w:p>
    <w:p>
      <w:r>
        <w:rPr>
          <w:b/>
        </w:rPr>
        <w:t>E. 7</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w:t>
      </w:r>
    </w:p>
    <w:p>
      <w:r>
        <w:rPr>
          <w:b/>
        </w:rPr>
        <w:t>E. 8</w:t>
      </w:r>
    </w:p>
    <w:p>
      <w:r>
        <w:t>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w:t>
      </w:r>
    </w:p>
    <w:p>
      <w:r>
        <w:t>A/3265/2007 - 10/14 - Les principes développés par la jurisprudence en matière de troubles somatoformes douloureux sont applicables par analogie à la fibromyalgie.(ATF 132 V 70 consid. 4.1).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 Schweizerische Medizinische Wochenschrift 1997, p. 1434, avec référence à une étude approfondie de WINCKLER et FOERSTER; voir sur l'ensemble du sujet ATF 131 V 49).</w:t>
      </w:r>
    </w:p>
    <w:p>
      <w:r>
        <w:rPr>
          <w:b/>
        </w:rPr>
        <w:t>E. 9</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w:t>
      </w:r>
    </w:p>
    <w:p>
      <w:r>
        <w:t>A/3265/2007 - 11/14 - appréciation des preuves, le Tribunal fédéral des assurances a posé des lignes directrices en ce qui concerne la manière d'apprécier certains types d'expertises ou de rapports médicaux (ATF 125 V 352 ss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ATFA non publié du 13 mars 2000, I 592/99, consid. b/ee).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w:t>
      </w:r>
    </w:p>
    <w:p>
      <w:r>
        <w:rPr>
          <w:b/>
        </w:rPr>
        <w:t>E. 10</w:t>
      </w:r>
    </w:p>
    <w:p>
      <w:r>
        <w:t>En l'occurrence, il n'est pas contesté que la recourante ne souffre d'aucune atteinte à la santé somatique objectivable et invalidante, hormis de lombalgies chroniques et persistantes, de lombalgies intermittentes dans le cadre de troubles statiques modérés du rachis et d'une hernie discale. A cet égard, il convient également de relever avec l'intimé que le Dr F__________ a attesté le 10 mai 2007 que l'assurée n'a plus souffert de lombosciatique depuis octobre 2006, soit depuis sept mois à compter de son certificat médical, ce qui démontre également que cette atteinte ne saurait être considérée comme invalidante à elle-seule. Quant aux atteintes psychiatriques, aucun médecin n'a mis en évidence une atteinte psychiatrique grave, à l'exception du Dr J__________, lequel a conclu en ces termes : "En conclusion, je pense qu'un syndrome de type fibromyalgique doit être évoqué, conjointement à un état dépressif d'intensité moyenne avec syndrome somatique évident (F32.11), voire un trouble dépressif récurrent, épisode actuel moyen, avec syndrome somatique (F33.11), à confronter avec l'anamnèse psychologique détaillée de l'enfance, de l'adolescence et de l'âge adulte". Toutefois, ce médecin n'est pas spécialiste en psychiatrie. En outre, selon les déclarations de l'assuré, celle-ci a consulté en septembre 2004 à deux reprises le Dr</w:t>
      </w:r>
    </w:p>
    <w:p>
      <w:r>
        <w:t>A/3265/2007 - 12/14 - D__________ (une fois selon ce dernier), sans que celui-ci ait jugé nécessaire de mettre en place un traitement psychothérapeutique ou médicamenteux. Au printemps 2006, elle a consulté deux fois le Dr I__________, psychiatre à Thonon- les-Bains. Celui-ci n'a pas non plus proposé un suivi psychiatrique régulier. La recourante a par ailleurs pris un traitement antidépresseur pendant trois mois seulement au printemps 2006, l'a arrêté en raison des effets secondaires (elle se sentait soûle) et n'a pas essayé un autre antidépresseur. Il résulte de ce qui précède que d'autres spécialistes en la matière ont également considéré, tout comme les médecins du SMR, que la recourante n'était pas atteinte d'une maladie psychique d'une certaine gravité. Cela étant, il n'y a pas lieu de retenir une comorbidité psychiatrique à la fibromyalgie diagnostiquée. Quant aux autres critères jurisprudentiels précités, il peut certes être admis que la recourante présente un processus maladif s'étendant sur plusieurs années sans rémission durable et des affections corporelles chroniques. Toutefois, au niveau psychiatrique, l'assurée n'a pas épuisé toutes les possibilités de traitement, dès lors qu'un traitement antidépresseur de longue durée n'a jamais été mis en place. Par conséquent, il ne saurait être considéré que tous les traitements conformes aux règles de l'art ont échoué. Une perte de l'intégration sociale dans toutes les manifestations de la vie ne peut non plus être admise, en raison du maintien des contacts réguliers avec sa famille et ses copines. La recourante sort aussi tous les jours pour promener ses enfants et joue avec eux. Il n'y a pas non plus d'éléments en faveur d'un état psychique cristallisé, en l'absence d'événements de la vie adverses notables. Il convient ici de relever que la recourante a indiqué aux médecins du SMR avoir de très bons souvenirs de son enfance, avec une mère très présente et chaleureuse, ainsi qu'une enfance riche en stimulations culturelles et sportives. A noter également que sa relation conjugale est satisfaisante et sa libido n'est que légèrement diminuée. Certes, le Dr J__________ fait état de deux chocs importants en mars 2003 suite au décès de personnes proches et du chien de la recourante. Toutefois, même en admettant cette hypothèse, ces évènements n'ont provoqué, selon les dires mêmes du Dr J__________, qu'une dépression réactionnelle, atteinte qui ne dure en principe pas plus de deux ans. Celle-ci n'a en outre pas nécessité un traitement psychiatrique, ce qui met en doute la gravité de ce trouble. Il convient également de considérer que l'éventuel burn-out évoqué par le Dr J__________ a dû être surmonté depuis l'arrêt de travail. Cela étant, les critères jurisprudentiels, pour admettre que la fibromyalgie présente un caractère invalidant, ne sont pas remplis. Par conséquent, d'un point de vue juridique, une incapacité de travail ne peut être retenue.</w:t>
      </w:r>
    </w:p>
    <w:p>
      <w:r>
        <w:rPr>
          <w:b/>
        </w:rPr>
        <w:t>E. 11</w:t>
      </w:r>
    </w:p>
    <w:p>
      <w:r>
        <w:t>Au vu de ce qui précède, le recours sera rejeté.</w:t>
      </w:r>
    </w:p>
    <w:p>
      <w:r>
        <w:rPr>
          <w:b/>
        </w:rPr>
        <w:t>E. 12</w:t>
      </w:r>
    </w:p>
    <w:p>
      <w:r>
        <w:t>L'assurée qui succombe sera condamnée au paiement d'un émolument de justice de 200 fr. (art. 69 al. 1bis LAI).</w:t>
      </w:r>
    </w:p>
    <w:p>
      <w:r>
        <w:t>A/3265/2007 - 13/14 -</w:t>
      </w:r>
    </w:p>
    <w:p>
      <w:r>
        <w:t>A/3265/2007 - 14/14 -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