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ATAS/441/2010 vom 28. April 2010</w:t>
      </w:r>
    </w:p>
    <w:p>
      <w:r>
        <w:t>GE Cour de justice, 2010-04-28, FR</w:t>
      </w:r>
    </w:p>
    <w:p>
      <w:r>
        <w:rPr>
          <w:b/>
        </w:rPr>
        <w:t xml:space="preserve">Quelle: </w:t>
      </w:r>
      <w:r>
        <w:t>https://mcp.opencaselaw.ch/entscheid/ge_gerichte_ATAS_441_2010</w:t>
      </w:r>
    </w:p>
    <w:p>
      <w:r>
        <w:t>FR: GE_GERICHTE ATAS/441/2010 du 28 avril 2010</w:t>
      </w:r>
    </w:p>
    <w:p>
      <w:r>
        <w:t>IT: GE_GERICHTE ATAS/441/2010 del 28 aprile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Interjeté dans les délai et formes prescrits par la loi, le recours est recevable (art. 38 et 56 ss et LPGA).</w:t>
      </w:r>
    </w:p>
    <w:p>
      <w:r>
        <w:rPr>
          <w:b/>
        </w:rPr>
        <w:t>E. 4</w:t>
      </w:r>
    </w:p>
    <w:p>
      <w:r>
        <w:t>La loi fédérale du 16 décembre 2005 modifiant la loi fédérale sur l'assurance- 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S'agissant des modifications de la LAI du 6 octobre 2006 (5ème révision de la LAI), entrées en vigueur le 1er janvier 2008 (à l'exception de l'art. 68quater entré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w:t>
      </w:r>
    </w:p>
    <w:p>
      <w:r>
        <w:t>A/4074/2008 - 7/14 - commandent ainsi l'examen du bien-fondé de la décision du 3 octobre 2008 à la lumière des anciennes dispositions de la LAI pour la période s'étendant jusqu'au 31 décembre 2007 et, le cas échéant, au regard des nouvelles dispositions de la LAI pour la période postérieure (ATF 130 V 332 consid. 2.2 et 2.3).</w:t>
      </w:r>
    </w:p>
    <w:p>
      <w:r>
        <w:rPr>
          <w:b/>
        </w:rPr>
        <w:t>E. 5</w:t>
      </w:r>
    </w:p>
    <w:p>
      <w:r>
        <w:t>Il convient en l’occurrence de déterminer si la décision initiale de l’OAI (octroi d’une rente entière d’invalidité) peut être réexaminée par la voie de la révision. 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b)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c) Selon l'art. 17 LPGA, si le taux d'invalidité du bénéficiaire de la rente subit une modification notable, la rente est, d'office ou sur demande, révisée pour l'avenir, à</w:t>
      </w:r>
    </w:p>
    <w:p>
      <w:r>
        <w:t>A/4074/2008 - 8/14 -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En vertu de l'art. 88a al. 1 du règlement sur l'assurance-invalidité du 17 janvier 1961 (RAI; RS 831.201), si la capacité de gain ou la capacité d'accomplir les travaux habituels d'un assuré s'améliore ou que son impotence s'atténue, il y a lieu de considérer que ce changement supprime, le cas échéant, toute ou partie de son droit aux prestations dès qu'on peut s'attendre à ce que l'amélioration se maintienne durant une assez longue période. Il en va de même lorsqu'un tel changement déterminant a duré trois mois déjà, sans interruption notable et sans qu'une complication prochaine soit à craindre. L'art. 88bis al. 2 let. a RAI stipule que la diminution ou la suppression de la rente ou de l'allocation pour impotence prend effet au plus tôt le premier jour du deuxième mois qui suit la notification de la décision. d)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A/4074/2008 - 9/14 -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A/4074/2008 - 10/14 -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6</w:t>
      </w:r>
    </w:p>
    <w:p>
      <w:r>
        <w:t>En l'occurrence se trouvent au dossier des attestations des médecins traitants, notamment des médecins du Département de médecine communautaire des HUG, une expertise du Dr W_________ de juin 2008 et des avis des médecins du SMR. Il convient tout d'abord d'examiner la valeur probante de l’expertise du Dr W_________. Celle-ci comporte une anamnèse, tient compte des plaintes du recourant, pose des diagnostics précis et détermine clairement la capacité de travail de l’expertisé. Ses conclusions sont dépourvues de contradiction, convaincantes et motivées. Il apparaît ainsi que cette expertise a toute valeur probante selon les principes dégagés de la jurisprudence fédérale. Après avoir posé des diagnostics et pris en compte les plaintes de l'expertisé, l'expert conclut que ce dernier présente une capacité de travail de 50% dans une activité adaptée à ses limitations fonctionnelles. En revanche, son ancienne profession de démolisseur d'automobiles n'est pas adaptée à son état de santé. L'expert a précisé que le rendement prévisible s'élevait à plus de 80%. Il sied de relever que l'expert mentionne que l'état dépressif et les troubles du sommeil sont traités. Selon lui, il semblerait que le trouble dépressif dont souffrait le recourant en 2003 se soit amélioré et ne nécessite plus actuellement de suivi psychiatrique. Aux termes de cette expertise, il y a donc une amélioration de l'état de santé psychique ayant une répercussion sur la capacité de travail. Cette évaluation est partagée par de nombreux médecins traitants du Département de médecine communautaire des HUG. En effet, en avril 2005, les Drs P_________, Q_________ et R_________ ont précisé que le suivi psychiatrique avait été interrompu en 2003 étant donné la rémission totale de la maladie. Le traitement médicamenteux avait quant à lui été interrompu en 2004. Ces médecins ne se sont pas prononcés sur la capacité de travail. En avril 2005 également, les Dresses S_________ et T_________ ont indiqué qu'une capacité de 50 % semblait tout à fait envisageable dans un travail de bureau par exemple. En octobre 2006, les maîtres de réadaptation du Centre d'orientation professionnelle ont relevé qu'il était possible de réadapter l'assuré, très motivé, dans une activité sédentaire et légère respectant l'exigibilité de 50 % posée par le SMR. Lors du second stage d'orientation professionnelle, les maîtres de réadaptation ont confirmé que la capacité de travail était de l'ordre de 50 %.</w:t>
      </w:r>
    </w:p>
    <w:p>
      <w:r>
        <w:t>A/4074/2008 - 11/14 - L'assuré pouvait être opérationnel dans une activité de préparation de machines informatiques légères correspondant globalement à une activité industrielle légère à l'établi. En juin 2008, la Dresse A_________ du SMR a attesté d'une amélioration de l'état de santé en septembre 2006. Selon elle, la capacité de travail dans une activité adaptée s'élevait à 50 % sans baisse de rendement. Seul le Dr R_________ a conclu que l'état de santé était resté stationnaire et que, dès lors, son patient devait continuer à pouvoir bénéficier d'une rente entière d'invalidité. Cet avis n'est cependant aucunement motivé et ne saurait remettre en cause les conclusions de l'expert, des autres médecins traitants des HUG, des maîtres de réadaptation professionnelle ainsi que des médecins du SMR. Au vu de ce qui précède, il convient de tenir pour établi que l'état de santé de l'assuré s'est amélioré et qu'il présente désormais une capacité de travail de 50 % dans une activité adaptée. Il y a lieu de relever ici que l'expert a pris en compte, en sus, une diminution de rendement de 20 %, qui sera également retenue.</w:t>
      </w:r>
    </w:p>
    <w:p>
      <w:r>
        <w:rPr>
          <w:b/>
        </w:rPr>
        <w:t>E. 7</w:t>
      </w:r>
    </w:p>
    <w:p>
      <w:r>
        <w:t>L'amélioration de l'état de santé ayant une répercussion sur la capacité de travail étant établie, il convient maintenant de déterminer le degré d'invalidité actuel du recourant, en procédant à une comparaison des revenus avant et après invalidité pour déterminer le degré d'invalidité du recourant.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w:t>
      </w:r>
    </w:p>
    <w:p>
      <w:r>
        <w:t>A/4074/2008 - 12/14 -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La preuve de l’existence de circonstances qui justifieraient de s’écarter, en sa faveur ou en sa défaveur, du revenu effectivement réalisé par l’assuré est soumise à des exigences sévères, qu’il s’agisse de l’évaluation du revenu avec ou sans invalidité (ATFA non publié du 28 décembre 2004, I 290/04 et les références). La seule circonstance qu’un assuré disposerait de meilleures possibilités de gain que celles qu’il met en valeur et qui lui permettent d’obtenir un revenu modeste ne justifie pas encore que l’on s’écarte du gain qu’il perçoit effectivement (ATFA non publié du 14 octobre 2002, I 777/01). Dans ce dernier arrêt, le Tribunal fédéral admet cependant que des circonstances justifient de s’écarter du revenu effectif de l’assuré lorsqu’il ressort de la situation dans son ensemble que celui-ci, sans invalidité, ne se contenterait pas durablement d’une telle rémunération.</w:t>
      </w:r>
    </w:p>
    <w:p>
      <w:r>
        <w:rPr>
          <w:b/>
        </w:rPr>
        <w:t>E. 8</w:t>
      </w:r>
    </w:p>
    <w:p>
      <w:r>
        <w:t>S'agissant du revenu sans invalidité, l'assuré indique avoir été tâcheron indépendant durant les années 1994 à 1997. Il avait toutefois présenté une incapacité totale de travail depuis le mois de février 1996 et était sans revenu pendant les années 1996 et 1997. Les gains perçus avant l'année 1996 ne sont pas déterminables. Au vu de ce qui précède, il y a lieu de constater qu'il n'est pas possible de retenir un revenu avant invalidité basé sur l'activité effective du recourant. Il convient donc de déterminer les revenus avec et sans invalidité en se référant aux données statistiques, telles qu'elles résultent du tableau TA1 de l'Enquête suisse sur la structure des salaires (ESS). Or, en cas pareil, et si les activités avant et après invalidité ressortissent à la même catégorie de salaires, le degré d'invalidité se confond avec celui de l'incapacité de travail, sous réserve d'une éventuelle réduction du revenu d'invalidité. En l'occurrence, il convient de tenir compte de la réduction de 20 % retenue par l'expert en raison de la diminution de rendement du recourant. Ainsi, la capacité</w:t>
      </w:r>
    </w:p>
    <w:p>
      <w:r>
        <w:t>A/4074/2008 - 13/14 - réelle de travail de l'assuré s'élève à 40 % (50 % - 20 % de baisse de rendement). Aucune réduction supplémentaire ne peut être opérée sur le salaire d'invalide, les limitations fonctionnelles ayant déjà été prises en considération dans la diminution de rendement retenue. Selon l'art. 28 al. 1 LAI relatif à l'échelonnement des rentes, un trois-quarts de rente est accordé à un assuré présentant un degré d'invalidité d'au moins 60 % et une rente entière à celui dont le taux est supérieur à 70 %. Le recourant n'a dès lors droit qu'à un trois-quarts de rente d'invalidité ensuite de l'amélioration de son état de santé psychique. Ainsi, il y a lieu de constater que l'OAI était en droit de procéder à une révision du droit à la rente et de diminuer la rente entière d'invalidité à trois-quarts de rente.</w:t>
      </w:r>
    </w:p>
    <w:p>
      <w:r>
        <w:rPr>
          <w:b/>
        </w:rPr>
        <w:t>E. 9</w:t>
      </w:r>
    </w:p>
    <w:p>
      <w:r>
        <w:t>Au vu de ce qui précède, le recours sera très partiellement admis dans le sens des considérants.</w:t>
      </w:r>
    </w:p>
    <w:p>
      <w:r>
        <w:rPr>
          <w:b/>
        </w:rPr>
        <w:t>E. 10</w:t>
      </w:r>
    </w:p>
    <w:p>
      <w:r>
        <w:t>S'agissant des émoluments, l'art. 61 LPGA dispose que la procédure devant le tribunal cantonal des assurances est gratuite pour les parties (let. a). L'art. 69 al. 1bis (en vigueur depuis le 1er juillet 2006) déroge cependant à cette disposition dans la mesure où il soumet à des frais judiciaires les procédures portant sur des contestations relatives à l'octroi ou au refus de prestations de l'assurance-invalidité. Les frais judiciaires sont généralement mis à la charge de la partie qui succombe, quel que soit le rôle (recourant ou intimé) joué dans la procédure (arrêts du Tribunal fédéral 8C_40/2009 du 13 mars 2009, consid. 3.1 et la référence et 9C_28/2009 du</w:t>
      </w:r>
    </w:p>
    <w:p>
      <w:r>
        <w:rPr>
          <w:b/>
        </w:rPr>
        <w:t>E. 11</w:t>
      </w:r>
    </w:p>
    <w:p>
      <w:r>
        <w:t>mai 2009). En l'occurrence, le recourant n'obtient que très partiellement gain de cause, succombant sur la majeure partie de ses prétentions, à savoir le maintien de sa rente entière d'invalidité pour une durée indéterminée. Au vu de ce qui précède, il se justifie de mettre à sa charge des émoluments, fixés à 200 fr.</w:t>
      </w:r>
    </w:p>
    <w:p>
      <w:r>
        <w:t>A/4074/2008 - 14/14 -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