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ATAS/441/2009 vom 16. April 2009</w:t>
      </w:r>
    </w:p>
    <w:p>
      <w:r>
        <w:t>GE Cour de justice, 2009-04-16, FR</w:t>
      </w:r>
    </w:p>
    <w:p>
      <w:r>
        <w:rPr>
          <w:b/>
        </w:rPr>
        <w:t xml:space="preserve">Quelle: </w:t>
      </w:r>
      <w:r>
        <w:t>https://mcp.opencaselaw.ch/entscheid/ge_gerichte_ATAS_441_2009</w:t>
      </w:r>
    </w:p>
    <w:p>
      <w:r>
        <w:t>FR: GE_GERICHTE ATAS/441/2009 du 16 avril 2009</w:t>
      </w:r>
    </w:p>
    <w:p>
      <w:r>
        <w:t>IT: GE_GERICHTE ATAS/441/2009 del 16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une rente de l’assurance-invalidité, singulièrement quel est le taux d’invalidité qu’elle présente.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w:t>
      </w:r>
    </w:p>
    <w:p>
      <w:r>
        <w:t>A/3162/2008 - 7/12 -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w:t>
      </w:r>
    </w:p>
    <w:p>
      <w:r>
        <w:t>A/3162/2008 - 8/12 -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l'intimé d'avoir fondé son appréciation de la capacité de travail sur le rapport d’expertise bidisciplinaire du 30 avril 2008. Elle allègue devoir prendre de nombreux médicaments, être très fatiguée et ne pouvoir marcher plus d’une dizaine de minutes. En substance, la recourante estime ne pas être en mesure de travailler au-delà de 50% et soutient que la perte de gain qui s’ensuit doit lui ouvrir droit à une rente d’invalidité. Ce faisant, elle reproche à l’intimé d’avoir considéré qu’elle ne présente pas d’affection invalidante, mais ne remet pas en cause, dans leur principe, les diagnostics posés par les experts, à savoir un syndrome somatoforme indifférencié. Il convient de relever que le rapport d’expertise des Drs O__________ et P__________ se fonde sur une anamnèse détaillée, des examens cliniques de la recourante et tient compte des plaintes rapportées par cette dernière. Il a été établi en pleine connaissance du dossier et ses conclusions, dûment motivées, ne laissent pas apparaître de contradiction. Il y a donc lieu de lui reconnaître pleine valeur probante, d’autant que le diagnostic retenu est corroboré par le médecin traitant. La</w:t>
      </w:r>
    </w:p>
    <w:p>
      <w:r>
        <w:t>A/3162/2008 - 9/12 - Dresse L__________, dans son rapport daté du 21 septembre 2007, a en effet également retenu le diagnostic de trouble somatoforme. Quant à celui de troubles anxieux avec dysthymie dépressive, également mentionné par le médecin traitant, le Dr O__________ a expliqué pour quelles raisons il ne l’avait pas retenu. Il a souligné à cet égard que les plaintes subjectives de l’assurée lui étaient apparues beaucoup plus importantes que ce qu’il avait pu objectivement constater par lui- même et qu’il n’avait pu relever suffisamment d’éléments pour diagnostiquer un trouble dépressif car il n’avait observé ni trouble de l’humeur sévère, ni trouble anxieux particulier. Dans la mesure où la Dresse L__________ n’a pas étayé outre mesure son diagnostic de trouble anxieux, il n’existe pas d’éléments de nature à remettre en cause les rapports clairs et probants des experts. Le médecin traitant a justifié la conclusion selon laquelle sa patiente serait dans l’incapacité d’exercer la moindre activité lucrative par la durée des symptômes et leur résistance aux différents traitements. Aucune indication n’a en revanche été donnée sur les limitations fonctionnelles retenues par le médecin traitant, si ce n’est la fatigue dont se plaint la recourante. Le diagnostic de trouble somatoforme ayant été retenu, il y a toutefois lieu de rappeler que si les atteintes à la santé psychique peuvent, comme les atteintes physiques, entraîner une invalidité au sens de l'art. 4 al. 1 LAI en liaison avec l'art.</w:t>
      </w:r>
    </w:p>
    <w:p>
      <w:r>
        <w:rPr>
          <w:b/>
        </w:rPr>
        <w:t>E. 8</w:t>
      </w:r>
    </w:p>
    <w:p>
      <w:r>
        <w:t>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w:t>
      </w:r>
    </w:p>
    <w:p>
      <w:r>
        <w:t>A/3162/2008 - 10/12 -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En l’espèce, force est de constater que selon les constatations des experts, les conditions permettant de reconnaître un caractère invalidant au trouble somatoforme diagnostiqué chez la recourante ne sont pas réunies. En effet, ainsi que cela a été déjà dit, l’expert psychiatre n’a pas observé de pathologie psychiatrique sévère. Par ailleurs, il a expliqué que l’on ne pouvait conclure à la cristallisation de l’état psychique de l’assurée car la prise régulière de Cymbalta - traitement pour lequel elle était peu compliante - pourrait avoir un effet sur le seuil de la perception des douleurs. Ainsi que l’a relevé le SMR, il n’y a pas non plus perte d’intégration dans toutes les manifestations de la vie ni affection corporelle chronique puisque la radiographie de la colonne cervicale pratiquée en janvier 2008 montre des troubles de la statique avec une discarthrose C5-C6 associée à un très léger retentissement sur le trou de conjugaison gauche adjacent, mais sans répercussion neurologique associée et qu’il suffisait d’éviter les activité sprofessionnelles mettant à contribution la colonne cervicale, c’est-à-dire les mouvement répétitifs, les positions en hyper-flexion ou hyper extension. Eu égard à ces considérations, les conclusions des experts, qui n’ont retenu aucune limitation sur le plan physique autre que celles alléguées en raison des douleurs et aucune limitation sur le plan psychique, mental ou social et considéré que l’assurée peut d’une part, continuer à faire toutes les tâches ménagères qui lui incombent à plein temps et sans diminution de rendement, d’autre part, exercer une activité lucrative légère, apparaissent convaincantes.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w:t>
      </w:r>
    </w:p>
    <w:p>
      <w:r>
        <w:t>A/3162/2008 - 11/12 - ignorés dans le cadre de l’expertise et qui sont suffisamment pertinents pour remettre en cause les conclusions de cette dernière. Cette hypothèse n’est cependant pas réalisée en l’espèce, comme on l’a vu supra. On retiendra donc que, sur le plan somatique, la recourante a recouvré une capacité de travail résiduelle de 100% dans une activité adaptée et que sa capacité à assumer les tâches ménagères avec l’aide de sa famille est également préservée. Il suit de ce qui précède qu'il n'est manifestement pas établi, au degré de la vraisemblance prépondérante, que la recourante serait atteinte de troubles de la santé psychique au point d'être limitée dans sa capacité de travail au sens de la jurisprudence citée ci-dessus. 7. Dans ces circonstances, c'est à bon droit que l'intimé a nié le droit de la recourante aux prestations de l’assurance-invalidité. L'émolument, fixé à 200 fr., est mis à la charge de la recourante qui succombe (art. 69 al. 1 bis LAI).</w:t>
      </w:r>
    </w:p>
    <w:p>
      <w:r>
        <w:t>A/3162/2008 - 12/12 -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