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ATAS/440/2021 vom 16. September 2016</w:t>
      </w:r>
    </w:p>
    <w:p>
      <w:r>
        <w:t>GE Cour de justice, 2016-09-16, FR</w:t>
      </w:r>
    </w:p>
    <w:p>
      <w:r>
        <w:rPr>
          <w:b/>
        </w:rPr>
        <w:t xml:space="preserve">Quelle: </w:t>
      </w:r>
      <w:r>
        <w:t>https://mcp.opencaselaw.ch/entscheid/ge_gerichte_ATAS_440_2021</w:t>
      </w:r>
    </w:p>
    <w:p>
      <w:r>
        <w:t>FR: GE_GERICHTE ATAS/440/2021 du 16 septembre 2016</w:t>
      </w:r>
    </w:p>
    <w:p>
      <w:r>
        <w:t>IT: GE_GERICHTE ATAS/440/2021 del 16 settembre 2016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La procédure devant le Tribunal arbitral n’est pas gratuite. Conformément à l’art. 46 al. 1 LaLAMAL, les frais du tribunal et de son greffe sont à la charge des parties. Ils comprennent les débours divers (notamment indemnités de témoins, port, émolument d’écriture), ainsi qu’un émolument global n’excédant pas CHF 15'000.-. Le tribunal fixe le montant des frais et décide quelle partie doit les supporter (art. 46 al. 2 LaLAMAL).</w:t>
      </w:r>
    </w:p>
    <w:p>
      <w:r>
        <w:t>A/2450/2018 - 28/29 - En l'occurrence, la totalité de l'émolument de justice de CHF 3'000.- et les frais du Tribunal de céans de CHF 3'940.- seront mis intégralement à la charge de la défenderesse. La défenderesse qui succombe sera en outre condamnée à verser aux demanderesses, prises conjointement et solidairement, la somme de CHF 4'000.- à titre de dépens.</w:t>
      </w:r>
    </w:p>
    <w:p>
      <w:r>
        <w:t>A/2450/2018 - 29/29 -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