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ATAS/440/2015 vom 17. Juni 2015</w:t>
      </w:r>
    </w:p>
    <w:p>
      <w:r>
        <w:t>GE Cour de justice, 2015-06-17, FR</w:t>
      </w:r>
    </w:p>
    <w:p>
      <w:r>
        <w:rPr>
          <w:b/>
        </w:rPr>
        <w:t xml:space="preserve">Quelle: </w:t>
      </w:r>
      <w:r>
        <w:t>https://mcp.opencaselaw.ch/entscheid/ge_gerichte_ATAS_440_2015</w:t>
      </w:r>
    </w:p>
    <w:p>
      <w:r>
        <w:t>FR: GE_GERICHTE ATAS/440/2015 du 17 juin 2015</w:t>
      </w:r>
    </w:p>
    <w:p>
      <w:r>
        <w:t>IT: GE_GERICHTE ATAS/440/2015 del 17 giugno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A/3000/2014 - 9/18 -</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taux de l'indemnité pour atteinte à l'intégrité séquellaire à l’accident du 22 octobre 2012.</w:t>
      </w:r>
    </w:p>
    <w:p>
      <w:r>
        <w:rPr>
          <w:b/>
        </w:rPr>
        <w:t>E. 5</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Depuis le 1er janvier 2008, le montant maximum du gain assuré s’élève à CHF 126'000.- par an et CHF 346.- par jour (art. 22 al. 1 de l'ordonnance sur l'assurance-accidents, du 20 décembre 1982 [OLAA - RS 832.202]). b) La réglementation prévue à l'art. 24 al. 2 LAA suppose que les conditions d'octroi de chacune des prestations soient réunies au même moment (ATF 113 V 48 consid. 3). Il peut toutefois arriver que l'indemnité pour atteinte à l'intégrité ne puisse pas être allouée en même temps que la rente d'invalidité, parce que, au moment de la fixation de la rente, il n'est pas encore possible de se prononcer avec certitude sur les conditions du droit à l'indemnité (ATF 119 V 131 consid. 3c). L'indemnité pour atteinte à l'intégrité a pour but de compenser le dommage subi par un assuré du fait d'une atteinte grave à son intégrité corporelle ou mentale due à un accident. Elle ne sert pas à réparer les conséquences économiques de l'atteinte, qui sont indemnisées au moyen d'une rente d'invalidité, mais joue le rôle d'une réparation morale. Elle vise à compenser un préjudice immatériel (douleurs, souffrances, diminution de la joie de vivre, limitation des jouissances offertes par l'existence etc.) qui perdure au-delà de la phase du traitement médical et dont il y a lieu d'admettre qu'il subsistera la vie durant (arrêt du Tribunal fédéral 8C_703/2008 du 25 septembre 2009 consid. 5.1 et les références).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w:t>
      </w:r>
    </w:p>
    <w:p>
      <w:r>
        <w:t>A/3000/2014 - 10/18 - même; elle est évaluée en effet de manière abstraite, égale pour tous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Le taux d'une atteinte à l'intégrité doit être évalué exclusivement sur la base de constatations médicales (ATF 115 V 147 consid. 1; ATF 113 V 218 consid. 4b; RAMA 2004 p. 415; arrêt du Tribunal fédéral des assurances U 134/03 du 12 janvier 2004 consid. 5.2). c)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mentale ou psychique, dues à un ou plusieurs accidents, l'indemnité pour atteinte à l'intégrité est fixée d'après l'ensemble du dommage (al. 3, 1ère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w:t>
      </w:r>
    </w:p>
    <w:p>
      <w:r>
        <w:rPr>
          <w:b/>
        </w:rPr>
        <w:t>E. 6</w:t>
      </w:r>
    </w:p>
    <w:p>
      <w:r>
        <w:t>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w:t>
      </w:r>
    </w:p>
    <w:p>
      <w:r>
        <w:t>A/3000/2014 - 11/18 -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en vue d'une évaluation plus affinée de certaines atteintes.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w:t>
      </w:r>
    </w:p>
    <w:p>
      <w:r>
        <w:rPr>
          <w:b/>
        </w:rPr>
        <w:t>E. 7</w:t>
      </w:r>
    </w:p>
    <w:p>
      <w:r>
        <w:t>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w:t>
      </w:r>
    </w:p>
    <w:p>
      <w:r>
        <w:t>A/3000/2014 - 12/18 -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8</w:t>
      </w:r>
    </w:p>
    <w:p>
      <w:r>
        <w:t>Dans un premier moyen, le recourant invoque la nullité de la décision du 3 septembre 2014 au motif que l’intimée n’a pas statué sur l’indemnité pour atteinte à l’intégrité en même temps que sur le droit à la rente d’invalidité. La réglementation de l'art. 24 al. 2 LAA suppose que les conditions d'octroi de chacune des prestations soient réunies au même moment (ATF 113 V 48). Par conséquent, contrairement à ce que soutient le recourant, il doit être possible déjà à la fin du traitement médical mais avant la décision de rente de se prononcer sur l’indemnisation de l’atteinte à l’intégrité, lorsque des mesures professionnelles de l’assurance-invalidité sont en cours. En effet, l’indemnité pour atteinte à l’intégrité ne concerne pas la capacité de gain, mais l’atteinte à l’intégrité physique, psychique ou mentale qui ne fait pas l’objet des mesures professionnelles de l’assurance- invalidité (cf. arrêt du Tribunal fédéral des assurances U 226/01 du 26 février 2002 consid. 3b). Dès lors, il s’agit de deux droits distincts à séparer l’un de l’autre sur lesquels il peut également être statué de façon séparée (cf. arrêt du Tribunal fédéral 8C_281/2007 du 18 janvier 2008 consid. 1.3). Le recourant ne conteste pas que le traitement médical est terminé, à juste titre, puisque le rapport du case manager du 11 avril 2014 précise que ledit traitement est désormais terminé avec le Dr D______. De plus, le rapport du Dr J______ du 4 mars 2014 conclut à une situation stabilisée du point de vue médical et celui du</w:t>
      </w:r>
    </w:p>
    <w:p>
      <w:r>
        <w:t>A/3000/2014 - 13/18 - Dr M______ du 19 juin 2014 considère que le traitement est terminé, puisqu’il n’accepte que deux consultations annuelles de suivi et une série de séances de physiothérapie d’entretien en cas de nécessité. En effet, l’état est stabilisé si le traitement ne peut plus entraîner d'amélioration ni éviter de péjoration de l'état de santé (ATF 134 V 109 consid. 4; arrêt du Tribunal fédéral 8C_584/2009 du 2 juillet 2010 consid. 2). Aussi, l’intimée n’a-t-elle pas violé l’art. 24 al. 2 LAA en statuant déjà sur le droit à l’indemnité pour atteinte à l’intégrité du recourant, alors que des mesures professionnelles de l’assurance-invalidité sont en cours, le traitement médical étant terminé.</w:t>
      </w:r>
    </w:p>
    <w:p>
      <w:r>
        <w:rPr>
          <w:b/>
        </w:rPr>
        <w:t>E. 9</w:t>
      </w:r>
    </w:p>
    <w:p>
      <w:r>
        <w:t>Dans un second moyen, le recourant conteste la valeur probante de l’évaluation finale du Dr M______ au motif notamment que sa motivation ne serait pas suffisante dès lors qu’il ne l’a pas examiné, qu’il n’a pas posé de diagnostics et qu’il n’aurait pas tenu compte de tous les éléments médicaux, respectivement de ses plaintes concernant d’autres problématiques que l’épaule gauche. Contrairement à ce que soutient le recourant, le rapport du Dr M______ du 19 juin 2014 repose sur un examen clinique en date du 11 juin 2014 lors duquel le médecin d’arrondissement a effectué divers mesures et tests. Cet examen avait pour but de procéder à un bilan final, à savoir déterminer quelles sont les séquelles de l’accident, si le traitement médical est terminé, si le recourant présente une capacité résiduelle de travail et de quel degré, enfin de permettre une évaluation de l’atteinte à l’intégrité. Par conséquent, il n’avait pas pour objectif de poser des diagnostics. Cela étant précisé, le Dr M______ rappelle que l’accident du 22 octobre 2012 a provoqué un traumatisme du rachis cervical avec fracture de C2, fracture de la clavicule gauche et fractures de côtes à gauche et à droite, soit les principales lésions subies par le recourant. En outre, il tient compte des plaintes de ce dernier, du dossier médical notamment du rapport de la CRR consécutif au séjour du recourant dans cet établissement du 4 au 26 février 2014. Enfin, il motive tant la capacité de travail résiduelle au vu des limitations fonctionnelles que de la stabilisation de l’état de santé par référence au rapport du Dr J______ du 4 mars 2014 dont il ne conteste pas, à juste titre, la valeur probante. En effet, ce dernier remplit tant les conditions formelles et matérielles à cet effet, notamment au vu de la période d’observation de 22 jours, des examens complémentaires effectués et du consilium orthopédique. Le dossier ne comportant pas de rapports médicaux contradictoires, le médecin d’arrondissement n’avait pas à motiver davantage son appréciation. Le recourant fait également grief à ce dernier de ne pas avoir mentionné ses plaintes de manière exhaustive, respectivement de ne pas avoir consigné ses plaintes concernant sa cheville et son talon droits, sa mâchoire, son crâne et l’oreille gauche telles qu’indiquées par le case manager dans son rapport du 11 avril 2014.</w:t>
      </w:r>
    </w:p>
    <w:p>
      <w:r>
        <w:t>A/3000/2014 - 14/18 - En l’occurrence, il n’est pas très clair si le recourant allègue avoir signalé lesdites plaintes au Dr M______ ou s’il reproche à celui-ci de ne pas avoir repris les plaintes figurant dans les rapports du case manager. Quoi qu’il en soit, la chambre de céans relève que l’accident du 22 octobre 2012 n’a pas touché le membre inférieur droit, de sorte que le médecin d’arrondissement n’a pas exposé à juste titre les plaintes du recourant concernant la cheville et le talon droits. En outre, ces derniers ont été lésés lors d’un autre accident postérieur qui ne fait pas l’objet de la présente procédure. Durant son séjour à la CRR, le recourant n’a pas fait état de plaintes concernant la mâchoire, l’oreille et le crâne. Par ailleurs, il a expliqué au case manager, le 2 décembre 2013, que les fourmis au crâne et à l’oreille gauche étaient dues à des artères bouchées, puis le 7 janvier 2014, il a indiqué que du point de vue maxillaire la situation allait bien. Par conséquent, soit lesdites plaintes ne sont plus actuelles, soit elles ne concernent pas les séquelles de l’accident, de sorte que le médecin d’arrondissement n’avait pas besoin de les mentionner. En définitive, en faisant état de cervicalgies, de douleurs aux épaules accompagnées d’une hypoesthésie sur tout le bras s’agissant de l’épaule gauche, de lombalgies et de douleurs au niveau des anciens foyers de fractures des côtes, le rapport du Dr M______ n’est pas lacunaire. En outre, ce médecin motive son évaluation par le dossier radiologique révélant une consolidation des fractures tant au rachis cervical qu’à la clavicule gauche ainsi que par les mesures de mobilité de l’épaule gauche très semblables à celles de l’épaule droite et aux tests négatifs tant de la coiffe que d’un éventuel conflit. Par ailleurs, aucun rapport médical ne contredit son évaluation qui ne comporte pas de contradictions, de sorte que son rapport d’examen final du 19 juin 2014 remplit tous les critères permettant de lui reconnaître une valeur probante.</w:t>
      </w:r>
    </w:p>
    <w:p>
      <w:r>
        <w:rPr>
          <w:b/>
        </w:rPr>
        <w:t>E. 10</w:t>
      </w:r>
    </w:p>
    <w:p>
      <w:r>
        <w:t>Dans un troisième moyen, le recourant conteste également la valeur probante de l’estimation de l’atteinte à l’intégrité du 19 juin 2014 effectuée par le Dr M______ au motif que son évaluation est encore plus lacunaire que son rapport d’examen final du 19 juin 2014. Dans ledit rapport, le médecin d’arrondissement précise que la discussion concernant l’atteinte à l’intégrité est effectuée à part. Par conséquent, il y a lieu de lire cette dernière en lien avec le rapport d’examen final pour apprécier si elle est lacunaire. Le Dr M______ tient compte d’une limitation active de l’épaule gauche consécutive à une fracture non déplacée de la deuxième vertèbre cervicale consolidée par immobilisation et à une fracture de la clavicule gauche traitée conservativement. Le recourant lui fait grief de ne pas prendre en considération ses problématiques au pied, à la colonne lombaire, à la clavicule gauche, à la mâchoire et au crâne ainsi que ses troubles cognitifs.</w:t>
      </w:r>
    </w:p>
    <w:p>
      <w:r>
        <w:t>A/3000/2014 - 15/18 - Pour les mêmes raisons que celles expliquées précédemment, les troubles du pied, de la mâchoire et du crâne n’ont pas d’incidence sur l’évaluation de l’atteinte à l’intégrité. Quant à ceux de la clavicule gauche et de la colonne lombaire, le Dr M______ semble les avoir prises en compte dans son évaluation puisqu’il retient que l’atteinte traumatique cervicale et dorso-lombaire ainsi que la discrète modification de la clavicule gauche liée à un raccourcissement génèrent quelques douleurs et des limitations fonctionnelles. Toutefois, il convient d’examiner ci- dessous, dans la discussion concernant l’évaluation de l’atteinte à l’intégrité, s’il en a concrètement tenu compte.</w:t>
      </w:r>
    </w:p>
    <w:p>
      <w:r>
        <w:rPr>
          <w:b/>
        </w:rPr>
        <w:t>E. 11</w:t>
      </w:r>
    </w:p>
    <w:p>
      <w:r>
        <w:t>Dans un dernier moyen, le recourant fait grief à l’intimée d’avoir sous-estimé son atteinte à l’intégrité qui serait d’au moins 30%. Se fondant sur la table 1 concernant l'atteinte à l'intégrité pour les troubles fonctionnels du membre supérieur, le Dr M______ relève que le recourant présente une limitation active de l’épaule gauche qui doit être évaluée par analogie avec une périarthrite scapulo-humérale moyenne équivalant à un taux d’atteinte à l'intégrité de 10%. Selon la table 1 relative à l’atteinte à l'intégrité résultant de troubles fonctionnels des membres supérieurs, une périathrite scapulo-humérale moyenne représente une atteinte à l'intégrité de 10%, alors que, quand elle est qualifiée de grave, l'atteinte à l'intégrité est évaluée à 25%. D’après la table 7 relative à l’atteinte à l'intégrité dans les affections de la colonne vertébrale, en cas de fractures cervicales, dorsales ou lombaires, le taux de l’atteinte à l’intégrité est de 0% en présence de limitations fonctionnelles minimes et rares sans douleurs notables survenant surtout aux efforts importants, de 0 à 5% en cas de douleurs modérées après mobilisation, rares ou nulles au repos, disparaissant complètement et rapidement (un à deux jours), de 5 à 10% en présence de douleurs minimes permanentes, même au repos, accentuées par les efforts et de 10 à 20% en cas de douleurs permanentes plus ou moins intenses qui rendent impossible toute charge supplémentaire et qui ne diminuent que lentement après aggravation. En présence d’affection vertébrale, l’appréciation de l’atteinte à l’intégrité doit se fonder principalement sur les limitations fonctionnelles, les altérations anatomo- pathologiques (radiographies) n’étant qu’un critère secondaire. L'appréciation du taux d'atteinte à l'intégrité en cas d'affections de la colonne vertébrale repose dans une très large mesure sur l'intensité des douleurs qu'entraînent ces affections (cf. table 7 relative à l'indemnisation des atteintes à l'intégrité selon la LAA). Mais si un assuré présente de nombreux signes de non- organicité des douleurs qu'il exprime, il convient de relativiser ces douleurs pour procéder à l'évaluation de l'atteinte à l'intégrité due aux seules lésions de la colonne vertébrale (cf. arrêt du Tribunal fédéral 8C_389/2009 du 7 avril 2010 consid. 5.3). En l’espèce, lors de l’accident du 22 octobre 2012, le recourant a été notamment victime de fractures cervicales en C2 et C3, de fracture tassement médial en D1, de</w:t>
      </w:r>
    </w:p>
    <w:p>
      <w:r>
        <w:t>A/3000/2014 - 16/18 - fracture dorsale en D12 et de fracture lombaire en L1, d’une fracture de la clavicule gauche et de fractures à deux côtes. Selon le rapport du 4 mars 2014 du Dr J______ et le bilan final du 19 décembre 2014 du Dr M______, on peut concevoir que l’atteinte traumatique cervicale et dorsolombaire ainsi que la discrète modification biomécanique secondaire au raccourcissement de la clavicule gauche génèrent quelques douleurs et limitations fonctionnelles. Lors du séjour à la CRR, les plaintes du recourant ont consisté en cervicalgies, surtout lors de la rotation gauche avec des irradiations dans les épaules et des sensations de vertiges en extension cervicale, des douleurs dans les épaules avec une raideur importante et des lombalgies. Ces deux médecins ont retenu les limitations fonctionnelles suivantes : l’absence de port de charges autres que légères au-dessus du niveau de l’épaule avec le membre supérieur gauche, un port de charges maximal de dix kilos, favoriser l’alternance des positions assises et debout, éviter le maintien prolongé du tronc en porte-à-faux (à genoux, debout ou assis), éviter les flexions/torsions répétées du tronc et éviter l’exposition prolongée du corps entier aux vibrations. Durant ses entretiens avec le case manager, le recourant a évoqué des douleurs lombaires très vives lors de toute activité sollicitant les lombaires, à la marche supérieure à 100 mètres et dès qu’il se penchait en avant. En l’occurrence, le recourant ne semble pas se plaindre de douleurs constantes mais plutôt de douleurs à l’effort et à la mobilisation. En outre, il convient de relativiser ses douleurs en raison des signes de non organicité mis en évidence lors de son séjour à la CRR. Etant donné que, d’une part, l’évaluation de l’atteinte à l’intégrité en cas d’affections de la colonne vertébrale doit reposer principalement sur les limitations fonctionnelles et que de telles limitations ont été admises tant par le Dr J______ que par le Dr M______, d’autre part, que les altérations anatomo- pathologiques ne sont qu’un critère secondaire, le médecin d’arrondissement ne pouvait pas justifier l’absence d’atteinte à l’intégrité pour les troubles de la colonne cervicale par le fait que les vertèbres fracturées sont bien consolidées et par l’absence de séquelles. En outre, dans son évaluation, il n’a à aucun moment examiné la question de l’atteinte à l’intégrité pour les fractures vertébrales D1, D12 et L1 alors que le recourant souffre de lombalgies. Or, au vu des limitations retenues en lien avec l’atteinte traumatique cervicale et dorsolombaire, à savoir favoriser l’alternance des positions assises et debout, éviter le maintien prolongé du tronc en porte-à-faux (à genoux, debout ou assis), éviter les flexions/torsions répétées du tronc, il apparaît que le recourant présente des séquelles objectives de la colonne cervico-dorso-lombaire. Par conséquent, l’évaluation effectuée par le Dr M______ est contradictoire et lacunaire, de sorte qu’elle n’a pas de valeur probante. Au vu de ces éléments, il n'est pas possible de se fonder sur l’appréciation du médecin d’arrondissement pour chiffrer l'indemnité pour atteinte à l'intégrité.</w:t>
      </w:r>
    </w:p>
    <w:p>
      <w:r>
        <w:t>A/3000/2014 - 17/18 -</w:t>
      </w:r>
    </w:p>
    <w:p>
      <w:r>
        <w:rPr>
          <w:b/>
        </w:rPr>
        <w:t>E. 12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Au vu, d’une part, de la contradiction existant entre les limitations fonctionnelles retenues par le Dr N______ dans son examen final s’agissant de la colonne cervicale et la justification de l’absence d’atteinte à l’intégrité pour les fractures des vertèbres cervicales par l’absence de séquelles en lien avec les fractures, d’autre part, de l’absence d’examen de l’atteinte à l’intégrité pour les fractures vertébrales D1, D12 et L1, force est de constater que la question de l’atteinte à l’intégrité n’a pas été instruite correctement par l’intimée. Par conséquent, il y a lieu de lui renvoyer le dossier afin qu’elle mette en œuvre une expertise externe auprès d'un orthopédiste pour déterminer si les fractures vertébrales justifient l’octroi d’une indemnité pour atteinte à l’intégrité et quel est le degré global de cette dernière compte tenu des atteintes multiples.</w:t>
      </w:r>
    </w:p>
    <w:p>
      <w:r>
        <w:rPr>
          <w:b/>
        </w:rPr>
        <w:t>E. 13</w:t>
      </w:r>
    </w:p>
    <w:p>
      <w:r>
        <w:t>Au vu de ce qui précède, le recours sera partiellement admis et la décision du 3 septembre 2014 sera annulée. Le dossier sera renvoyé à l'intimée pour mise en œuvre d'une expertise externe auprès d'un orthopédiste au sens des considérants.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A/3000/2014 - 18/18 -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