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ATAS/440/2013 vom 7. Mai 2013</w:t>
      </w:r>
    </w:p>
    <w:p>
      <w:r>
        <w:t>GE Cour de justice, 2013-05-07, FR</w:t>
      </w:r>
    </w:p>
    <w:p>
      <w:r>
        <w:rPr>
          <w:b/>
        </w:rPr>
        <w:t xml:space="preserve">Quelle: </w:t>
      </w:r>
      <w:r>
        <w:t>https://mcp.opencaselaw.ch/entscheid/ge_gerichte_ATAS_440_2013</w:t>
      </w:r>
    </w:p>
    <w:p>
      <w:r>
        <w:t>FR: GE_GERICHTE ATAS/440/2013 du 7 mai 2013</w:t>
      </w:r>
    </w:p>
    <w:p>
      <w:r>
        <w:t>IT: GE_GERICHTE ATAS/440/2013 del 7 maggio 2013</w:t>
      </w:r>
    </w:p>
    <w:p>
      <w:pPr>
        <w:pStyle w:val="Heading2"/>
      </w:pPr>
      <w:r>
        <w:t>Erwägungen</w:t>
      </w:r>
    </w:p>
    <w:p>
      <w:r>
        <w:rPr>
          <w:b/>
        </w:rPr>
        <w:t>E. 26</w:t>
      </w:r>
    </w:p>
    <w:p>
      <w:r>
        <w:t>septembre 2010 (LOJ ; RS E 2 05) en vigueur dès le 1er janvier 2011, la Chambre des assurances sociales de la Cour de justice statue en instance unique en matière d'allocations familiales cantonales ; Que sa compétence pour juger du cas d’espèce est ainsi établie ; Que conformément aux art. 56 al. 1 et 60 al. 1 LPGA, les décisions sur opposition peuvent faire l'objet d'un recours dans les trente jours dès la notification de la décision attaquée; Que les art. 38 à 41 LPGA sont applicables par analogie (art. 60 al. 2 LPGA) ; Que le délai commence à courir en principe le lendemain de la communication (art. 38 al. 1 LPGA) ; Qu'en l'espèce, la décision litigieuse a été notifiée au recourant par pli recommandé du 9 mai 2012, à son adresse à Genève, telle que mentionnée dans les registres de l'OCP; Que si l'envoi n'est pas retiré dans le délai de garde de sept jours, il est réputé avoir été communiqué le dernier jour de ce délai (ATF 134 V 49 consid. 4) ;</w:t>
      </w:r>
    </w:p>
    <w:p>
      <w:r>
        <w:t>A/2403/2012 - 4/6 - Qu'en l'occurrence, dès lors que le recourant n'a pas retiré la décision qui lui a été adressée en courrier recommandé à son adresse officielle, il y a lieu de considérer qu'elle lui a été notifiée le dernier jour du délai de garde, soit le 16 mai 2012 ; Qu'ainsi, le délai de recours est parvenu à échéance le vendredi 15 juin 2012 ; Que force est de constater que le recours du 3 août 2012 n’a pas été interjeté dans le délai légal ; Qu’en vertu des art. 40 al. 1 et 60 al. 2 LPGA et 16 al. 1 de la loi cantonale du 12 septembre 1985 sur la procédure administrative (LPA ; RS E 5 10),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3ème éd. 2011, p. 303, § 2.2.6.7)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 ATF 112 V 256 consid. 2a) ; Que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ATF 113 Ib 298 consid. 2a; voir aussi POUDRET, Commentaire de l'OJ, vol. I, p. 249 ad art. 35 OJ) ; Qu'en l'espèce, le recourant a formé opposition à la décision du 8 juillet 2011 ;</w:t>
      </w:r>
    </w:p>
    <w:p>
      <w:r>
        <w:t>A/2403/2012 - 5/6 - Qu'il devait dès lors s'attendre à recevoir une décision sur opposition et prendre toutes les mesures utiles pour être à même de recourir en temps utile en donnant à l'intimé, le cas échéant, une autre adresse de notification ; Qu'il est vrai que le courrier contenant la décision sur opposition n'a pas pu lui être régulièrement notifiée - même si la fiction d'une notification le dernier jour de garde, soit le 16 mai 2012, doit être retenue - puisqu'il n'a pas été trouvé à l'adresse indiquée ; que toutefois le recourant n'avait pas communiqué sa nouvelle adresse à l'intimé ; que celle-ci n'a d'ailleurs jamais été annoncée à l'OCP ; que de surcroît, l'adresse du recourant à laquelle la décision sur opposition a été envoyée a été son adresse officielle du 1er avril 2010 au 5 octobre 2012 ; que pour le surplus, en date du 8 juin 2011, soit après la notification infructueuse de la décision sur opposition, le recourant a adressé à la Caisse cantonale genevoise de compensation un courrier mentionnant une adresse d'expédition correspondant à l'adresse figurant sur la décision querellée et à laquelle il était supposé être "introuvable" ; Qu'au vu de ce qui précède, une restitution du délai n'entre pas en considération ; Qu'il y a en conséquence lieu de déclarer le recours irrecevable pour cause de tardiveté ; Qu'en dernier lieu, la Cour de céans constate que la question de l'octroi des allocations familiales pour les enfants BA__________, BB__________ et BC__________ B__________ devra faire l'objet d'une décision séparée de l'intimé, les pièces pertinentes étant en cours d'examen, selon les termes de son courrier du 1er février 2013.</w:t>
      </w:r>
    </w:p>
    <w:p>
      <w:r>
        <w:t>A/2403/2012 - 6/6 -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