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ATAS/440/2012 vom 22. März 2012</w:t>
      </w:r>
    </w:p>
    <w:p>
      <w:r>
        <w:t>GE Cour de justice, 2012-03-22, FR</w:t>
      </w:r>
    </w:p>
    <w:p>
      <w:r>
        <w:rPr>
          <w:b/>
        </w:rPr>
        <w:t xml:space="preserve">Quelle: </w:t>
      </w:r>
      <w:r>
        <w:t>https://mcp.opencaselaw.ch/entscheid/ge_gerichte_ATAS_440_2012</w:t>
      </w:r>
    </w:p>
    <w:p>
      <w:r>
        <w:t>FR: GE_GERICHTE ATAS/440/2012 du 22 mars 2012</w:t>
      </w:r>
    </w:p>
    <w:p>
      <w:r>
        <w:t>IT: GE_GERICHTE ATAS/440/2012 del 22 marzo 2012</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Cour de céans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La LPGA, entrée en vigueur le 1er janvier 2003, s’applique donc au cas d’espèce. Tel est également le cas des modifications de la LAI du 21 mars 2003 (4ème révision), entrées en vigueur le 1er janvier 2004 (RO 2003 3852) et celles du 6 octobre 2006 (5ème révision de la LAI), entrées en vigueur le 1er janvier 2008, dans la mesure de leur pertinence (ATF 130 V 445 et les références; voir également ATF 130 V 329).</w:t>
      </w:r>
    </w:p>
    <w:p>
      <w:r>
        <w:t>A/3932/2010 - 7/12 -</w:t>
      </w:r>
    </w:p>
    <w:p>
      <w:r>
        <w:rPr>
          <w:b/>
        </w:rPr>
        <w:t>E. 3</w:t>
      </w:r>
    </w:p>
    <w:p>
      <w:r>
        <w:t>Interjeté dans les forme et délai légaux (art. 56 à 60 LPGA), le recours est recevable.</w:t>
      </w:r>
    </w:p>
    <w:p>
      <w:r>
        <w:rPr>
          <w:b/>
        </w:rPr>
        <w:t>E. 4</w:t>
      </w:r>
    </w:p>
    <w:p>
      <w:r>
        <w:t>Il convient tout d’abord de circonscrire l'objet du litige. En effet, la décision querellée ne statue expressément que sur la demande d’octroi de mesures d'ordre professionnel, alors que la recourante conclut à l'octroi d'une rente entière en invoquant une aggravation de son état de santé.</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Ainsi,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w:t>
      </w:r>
    </w:p>
    <w:p>
      <w:r>
        <w:t>A/3932/2010 - 8/12 - c)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Il s’agit pour les parties d’éviter qu’une réparation de la violation du droit d’être entendu n’ait pour conséquence de les priver de la possibilité de faire valoir leurs arguments devant deux autorités successives (ATFA non publié du 8 novembre 2002, I 431/02, consid. 3.1). d) Selon la jurisprudence,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Dans cette hypothèse,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w:t>
      </w:r>
    </w:p>
    <w:p>
      <w:r>
        <w:t>A/3932/2010 - 9/12 - moment de son changement (cf. ATF 122 V 184 consid. 3b ; RAMA 2000 n° U 370 p. 106 consid. 2, et les références).</w:t>
      </w:r>
    </w:p>
    <w:p>
      <w:r>
        <w:rPr>
          <w:b/>
        </w:rPr>
        <w:t>E. 6</w:t>
      </w:r>
    </w:p>
    <w:p>
      <w:r>
        <w:t>En l'espèce, il ressort clairement de l'arrêt du TCAS du 7 mai 2008 que la recourante a renoncé à s'opposer au refus d'octroi d'une rente d'invalidité. Le dispositif de l'arrêt, à la lumière des motifs, ne laisse pas place à une autre interprétation. La Cour de céans constate, par ailleurs, que c'est au mois de novembre 2009 au plus tôt que la recourante a pour la première fois allégué une aggravation de son état de santé (fracture d'une côte en septembre 2009 et aggravation générale de son état de santé), sans toutefois fournir de documents, en particulier médicaux à l’appui de ses dires. Ce n'est que dans le cadre de la présente procédure qu'elle a produit l'attestation du Dr D___________ faisant état de troubles anxio-dépressifs et d'une fibromyalgie invalidante. Il en découle que, dans la mesure où la recourante a renoncé à contester le refus du droit à la rente dans le cadre de la première procédure, la Cour de céans est liée par la décision de l'OAI du 21 janvier 2008, laquelle a en effet acquis l'autorité de chose décidée s'agissant de la question de l’octroi d’une rente. Partant, la conclusion visant l’octroi d’une rente entière - conclusion qui implique une aggravation de l’état de santé de l’assurée - doit être considérée comme une nouvelle demande sur laquelle force est de constater que l’intimé ne s’est pas prononcé formellement, bien qu’il ait nié toute aggravation dans le cadre de la présente procédure (cf. écriture de l’intimé du 15 décembre 2010 dans laquelle il soutient qu’il ne ressort nullement des pièces au dossier que l’état de santé de l’assurée se serait notablement modifié depuis janvier 2007 - date de l’examen bidisciplinaire du SMR). Dès lors, la Cour de céans ne saurait, en lieu et place de l'intimé, décider s’il convient d’entrer en matière sur la nouvelle demande, d'autant plus que l'examen de la cause sera différent selon que l’OAI refuse d’entrer en matière ou rejette cette demande. Un tel procédé ne serait de surcroît pas conforme au principe de la garantie de double instance. La cause sera donc renvoyée à l’intimé afin que ce dernier se prononce formellement sur ce qu’il convient de considérer comme une nouvelle demande de l’assurée. Il découle de ce qui précède que les conclusions de la recourante tendant à l'octroi d'une rente seront déclarées irrecevables, le recours sur ce point apparaissant prématuré. Par souci d'économie, eu égard à l'art. 11 al. 3 de la loi sur la procédure administrative (LPA; RS E 5 10) qui prévoit que si l'autorité décline sa compétence, elle transmet d'office l'affaire à l'autorité compétente et en avise les parties, la Cour transmettra à l'intimé la nouvelle demande comme objet de sa compétence.</w:t>
      </w:r>
    </w:p>
    <w:p>
      <w:r>
        <w:t>A/3932/2010 - 10/12 - Quant aux conclusions de la recourante tendant à la mise en œuvre d'une expertise, elles seront rejetées, puisqu’une telle expertise n’a pour objectif que de démontrer l’aggravation invoquée par l’assurée. L'objet du litige se limite donc à la question de savoir si c’est à juste titre que l’intimé à nié le droit de l’assurée à des mesures d'ordre professionnel.</w:t>
      </w:r>
    </w:p>
    <w:p>
      <w:r>
        <w:rPr>
          <w:b/>
        </w:rPr>
        <w:t>E. 7</w:t>
      </w:r>
    </w:p>
    <w:p>
      <w:r>
        <w:t>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2bis LAI prévoit cependant que les assurés ont droit aux prestations prévues à l’art. 16 al. 2 let. c, que les mesures de réadaptation soient nécessaires ou non pour maintenir ou améliorer leur capacité de gain ou leur capacité d’accomplir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b) Pour déterminer si une mesure de réadaptation est de nature à rétablir, à maintenir ou à améliorer la capacité de gain de l'assuré (art. 8 al. 1 LAI), il convient d'effectuer un pronostic sur les chances de succès des mesures demandées (ATF 132 V 215 consid. 3.2.2). Des mesures d'ordre professionnel ne seront pas allouées si elles sont vouées à l'échec, selon toute vraisemblance (ATF non publié du 16 février 2007, I 170/06). c)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w:t>
      </w:r>
    </w:p>
    <w:p>
      <w:r>
        <w:t>A/3932/2010 - 11/12 -</w:t>
      </w:r>
    </w:p>
    <w:p>
      <w:r>
        <w:rPr>
          <w:b/>
        </w:rPr>
        <w:t>E. 8</w:t>
      </w:r>
    </w:p>
    <w:p>
      <w:r>
        <w:t>En l'espèce, il n'est pas contesté que la diminution de la capacité de gain de la recourante est supérieure à 20 %, condition nécessaire pour ouvrir le droit à une mesure de reclassement. Cependant, les maitres de stage des EPI ont documenté chez l’assurée un comportement très plaintif et démonstratif dont ils ont souligné qu’il empêchait la juste appréciation de ses capacités ; ils ont relevé que même les gestes les plus simples étaient accomplis avec grande lenteur et peu d'habileté ; s’y ajoutait le fait que l’assurée se disait persuadée que son état ne lui permettait plus de travailler (rapport d'observation, p. 4), ce qu'elle a confirmé lorsqu’elle a été entendue par un collaborateur de l'OAI. Des éléments versés au dossier, on peut conclure que l'engagement de la recourante a été globalement insuffisant, qu’elle ne s’est pas suffisamment investie dans la mesure, qu’elle est restée constamment centrée sur ses atteintes, n'a ni montré de persévérance ni cherché à aller au-delà des limites qu'elle s'était fixé (rapport d'observation, p. 9). Qui plus est, la Cour de céans ne peut que constater que l’assurée ne prend plus aucune conclusion relative à l’octroi de mesures d'ordre professionnel, pas même à titre subsidiaire. Au vu de ce qui précède, on ne saurait faire grief à l’intimé d’avoir considéré que des mesures d'ordre professionnel auraient vraisemblablement été vouées à l'échec, de sorte que son refus apparait justifié et que la décision querellée doit être confirmée. Mal fondé, le recours sera rejeté.</w:t>
      </w:r>
    </w:p>
    <w:p>
      <w:r>
        <w:rPr>
          <w:b/>
        </w:rPr>
        <w:t>E. 9</w:t>
      </w:r>
    </w:p>
    <w:p>
      <w:r>
        <w:t>Depuis le 1er juillet 2006, la procédure de recours en matière de contestations portant sur l’octroi ou le refus de prestations de l’assurance-invalidité devant la Cours de céans est désormais soumise à des frais de justice (art. 69 al. 1bis LAI), de sorte qu’il sera perçu un émolument à charge de la recourante.</w:t>
      </w:r>
    </w:p>
    <w:p>
      <w:r>
        <w:t>A/3932/2010 - 12/12 -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