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ATAS/440/2011 vom 13. April 2011</w:t>
      </w:r>
    </w:p>
    <w:p>
      <w:r>
        <w:t>GE Cour de justice, 2011-04-13, FR</w:t>
      </w:r>
    </w:p>
    <w:p>
      <w:r>
        <w:rPr>
          <w:b/>
        </w:rPr>
        <w:t xml:space="preserve">Quelle: </w:t>
      </w:r>
      <w:r>
        <w:t>https://mcp.opencaselaw.ch/entscheid/ge_gerichte_ATAS_440_2011</w:t>
      </w:r>
    </w:p>
    <w:p>
      <w:r>
        <w:t>FR: GE_GERICHTE ATAS/440/2011 du 13 avril 2011</w:t>
      </w:r>
    </w:p>
    <w:p>
      <w:r>
        <w:t>IT: GE_GERICHTE ATAS/440/2011 del 13 aprile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w:t>
      </w:r>
    </w:p>
    <w:p>
      <w:r>
        <w:rPr>
          <w:b/>
        </w:rPr>
        <w:t>E. 2</w:t>
      </w:r>
    </w:p>
    <w:p>
      <w:r>
        <w:t>Le délai de recours est de 30 jours (art. 60 al. 1 LPGA). Déposé dans les forme et délai prévus par la loi, le présent recours est recevable (art. 39 al. 1 et 60 al. 2 LPGA).</w:t>
      </w:r>
    </w:p>
    <w:p>
      <w:r>
        <w:rPr>
          <w:b/>
        </w:rPr>
        <w:t>E. 3</w:t>
      </w:r>
    </w:p>
    <w:p>
      <w:r>
        <w:t>Le litige porte sur le droit de l'OAI de réviser sa décision du 12 octobre 2001, par laquelle la recourante a été mise au bénéfice d’une demi-rente d'invalidité. Il s'agit donc de comparer la situation présidant en octobre 2001, à savoir au moment de l’octroi de la demi-rente d’invalidité, et celle existant en novembre 2009, lors de la suppression de ladite rente.</w:t>
      </w:r>
    </w:p>
    <w:p>
      <w:r>
        <w:rPr>
          <w:b/>
        </w:rPr>
        <w:t>E. 4</w:t>
      </w:r>
    </w:p>
    <w:p>
      <w:r>
        <w:t>a) En vertu des art. 8 al. 1 LPGA et 4 al. 1 LAI, est réputée invalidité l'incapacité de gain totale ou partielle présumée permanente ou de longue durée et résultant d'une infirmité congénitale, d'une maladie ou d'un accident. Quant à l'incapacité de gain,</w:t>
      </w:r>
    </w:p>
    <w:p>
      <w:r>
        <w:t>A/4671/2009 - 11/20 -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w:t>
      </w:r>
    </w:p>
    <w:p>
      <w:r>
        <w:t>A/4671/2009 - 12/20 - 13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w:t>
      </w:r>
    </w:p>
    <w:p>
      <w:r>
        <w:t>A/4671/2009 - 13/20 -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En l'espèce, il convient principalement de déterminer si l'état de santé de la recourante s’est amélioré entre la décision du 12 octobre 2001 et la décision querellée du 20 novembre 2009. a) Lors de la décision d'octroi, le 12 octobre 2001, les atteintes suivantes avaient été constatées :</w:t>
      </w:r>
    </w:p>
    <w:p>
      <w:r>
        <w:t>A/4671/2009 - 14/20 - − En 1996, des signes lésionnels neurogènes de distribution radiculaire C6 bilatéraux et un syndrome canalaire carpien bilatéral prédominant à droite avaient été diagnostiqués (voir rapport du 26 novembre 1996 du Dr B__________). − En 1997, les médecins avaient relevé les atteintes suivantes : − Sur le plan physique (voir rapport du 21 mars 1997 de la Clinique de réhabilitation de Bellikon) : symptômes de surcharge du rachis cervical, avec légère composante irritative, myosites (partie supérieure du trapèze à droite, sterno-cléido-mastoïdien droit), ténépériostoses (interspinales), vertiges d’origine cervicale après céphalées principalement d’origine cervicale sans déficits neurologiques notamment dans un contexte d’hypercyphose de la partie supérieure du rachis dorsal ; légers symptômes de surcharge du rachis lombaire, avec des myosites paravertébrales à gauche et des tendinites à la charnière lombo-sacrée, dans un contexte d’attitude vicieuse du rachis (dos plat au niveau du rachis dorsal et hyperlordose lombaire) ; sinusite maxillaire, catarrhe tubaire de l’oreille moyenne. − Sur le plan psychique (voir rapport du 5 juillet 1997 du Dr C__________) : état de stress post-traumatique alors en voie de résolution progressive et trouble de l’adaptation avec humeur dépressive. − En 1998, sur le plan physique, les diagnostics suivants ressortaient des divers rapports médicaux : raideur cervicale avec effacement de la lordose physiologique ; forte diminution de la flexion et de l’extension avec des décalages postérieurs de C3 par rapport à C4 et de C4 par rapport à C5, en extension, discrète arthrose des masses latérales à droite de l’apophyse odontoïde et à la charnière C1-C2 (rapport du 10 février 1998du Dr D__________), cervicalgies quasi-continuelle, vertiges, céphalées, perte de mémoire et de la force concentration, polypragmasie, lombalgies et gonalgies bilatérales (rapport du Dr E__________ du 10 février 1998). − En 2000, les médecins avaient mentionné les atteintes suivantes : − Sur le plan neuropsychologique, défaut du mot à la dénomination, discrètes difficultés à certaines épreuves exécutives (Luria, Stroop) et performances déficitaires en double tâche (rapport du 20 septembre 2000 du ). − Sur le plan physique : petite lésion du pôle antérieur temporal, avec attraction de la corne temporale en regard (rapport d’IRM cérébrale du 19 octobre 2000) ; cervicalgie post-traumatique suite à une entorse cervicale, discrète anomalie de Kimmerlé congénitale, spondylarthrose modérée à</w:t>
      </w:r>
    </w:p>
    <w:p>
      <w:r>
        <w:t>A/4671/2009 - 15/20 - prédominance C7-D1, encéphalopathie post-traumatique minime à modérée, syndrome de stress post-traumatique non entièrement résolu, irritation radiculaire C6 bilatérale, scotome du champ visuel de l’œil droit sans conséquence fonctionnelle (rapport du Dr F__________ du 24 novembre 2000). − En 2001, les atteintes suivantes avaient encore été relevées : − Sur le plan psychique (rapport du Dr C__________ du 12 avril 2001) : état de stress post-traumatique partiellement résolu (F43.1), état dépressif moyen avec syndrome somatique (F32.11), boulimie atypique (F50.3) et multiples problèmes somatiques. − Sur le plan physique (voir rapport du scanner de la colonne lombaire, du 1er juin 2001) : discarthrose étagée, avec une protrusion discale également étagée, se développant sur un canal lombaire limite, voire relativement étroit, à hauteur des vertèbres L4 et L5, hypertrophie ligamentaire jaune, plus importante à gauche qu’à droite, était également notée. En résumé, lors de la décision d’octroi de la demi-rente, en octobre 2001, la recourante souffrait principalement de cervicalgies, d’une spondylarthrose en C7- D1, d’une encéphalopathie post-traumatique minime à modérée, d’une irritation radiculaire C6 bilatérale, d’une discarthrose étagée (L3-L4 et L4-L5), avec une protrusion discale également étagée (L3-L4, L4-L5 et L5-S1), d’une hypertrophie ligamentaire jaune, d’un syndrome de stress post-traumatique non entièrement résolu, d’un état dépressif moyen avec syndrome somatique et d’une boulimie atypique. b) Dans le cadre de la procédure de révision, débutée en mars 2006, les diagnostics posés dans les expertises des Drs K__________ et L__________ des 9 mars 2009 et 26 août 2009 étaient les suivants : − Sur le plan rhumatologique (voir rapport du Dr K__________ du 9 mars 2009) : cervicalgies chroniques suite à une entorse cervicale en 1996 (accident de la circulation), lombalgies sur troubles de la posture et obésité, obésité, une hypertension artérielle (HTA), asthme, status après cure d’un syndrome du tunnel carpien bilatéral, gonalgies sur une gonarthrose débutante. − Sur le plan psychique (voir rapport du Dr L__________ du 26 août 2009) : épisode dépressif léger sans syndrome somatique (F32.00), présent depuis 1996. Il s’agit donc de déterminer si ces expertises sont suffisamment crédibles pour que leurs conclusions puissent être suivies sans que la Cour de céans n’ait de doute sur la solution adoptée.</w:t>
      </w:r>
    </w:p>
    <w:p>
      <w:r>
        <w:t>A/4671/2009 - 16/20 - ba) S’il répond certes à plusieurs réquisits jurisprudentiels, le rapport du Dr K__________ du 9 mars 2009 est toutefois incomplet, voire contradictoire : − Alors même qu’il commente le rapport de radiographie du 27 octobre 2006 de la colonne cervicale et lombaire de face et profil, qui relève la présence d’une uncodiscarthrose de C3 à C6 et d’une discrète ostéochondrose lombaire, l’expert n’en fait pas état dans les diagnostics qu’il a posés. De même, les radiographies de la colonne lombaire et des genoux, effectuée le 19 janvier 2007, font état d’une spondylose lombaire et d’une discrète arthrose fémoro- patellaire et fémoro-tibiale, des deux côtés. A nouveau, l’expert n’en fait pas état dans ses diagnostics. Tout au plus mentionne-t-il des lombalgies sur trouble de la posture et des gonalgies sur gonarthrose débutante. − Par ailleurs, l’expert s’est contenté d’un rapport de radiographie concernant la colonne cervicale, établi en 2006 et n’a pas estimé nécessaire d’effectuer des investigations complémentaires alors même que la recourante se plaignait de douleurs au niveau du rachis cervical. Or, les examens, notamment sous forme de radiographies, des zones présentant des problèmes doivent être refaits lorsque les images en possession de l’expert datent de plus de six mois (voir les Lignes directrices de la Société suisse de rhumatologie pour l’expertise médicale des maladies rhumatismales et des séquelles rhumatismales d’accident, ch. 3.4 in Bulletin des médecins suisses 88/2007, p. 736 et ss). − L’expert fait état de vertiges, sur lesquels il ne peut se prononcer. De même, il mentionne des vomissements fréquents, dont l’origine n’est pas déterminée. − Les diagnostics posés par l’expert font état d’un status après cure d’un syndrome du tunnel carpien bilatéral. Or, dans son avis rhumatologique, l’expert mentionne des douleurs évoquant une récidive du syndrome du tunnel carpien, ce qui ne ressort pourtant pas des diagnostics retenus, qui laissent supposer que cette problématique n’était plus d’actualité. − Par ailleurs, la Cour de céans peine à comprendre pour quelles raisons le Dr K__________ n’a pas retenu de limitations fonctionnelles alors que des atteintes au rachis cervical et lombaire ainsi qu’aux genoux ont été constatées. Au vu des considérations qui précèdent, la Cour de Céans ne peut suivre les conclusions de l’expertise du Dr K__________ sans avoir de doutes. Quant à l’expertise du Dr L__________, elle répond aux réquisits jurisprudentiels. En effet, les points litigieux ont fait l’objet d’une étude fouillée, l’expert a pris en considération les plaintes exprimées par le patient. Le rapport a été établi en se basant sur une anamnèse complète et les conclusions de l’expert sont bien motivées. Il a notamment clairement expliqué les raisons pour lesquelles les diagnostics retenus en 2001 n’étaient plus d’actualité en 2009, tout en précisant que</w:t>
      </w:r>
    </w:p>
    <w:p>
      <w:r>
        <w:t>A/4671/2009 - 17/20 - l’état de santé de la recourante était précaire. Aussi cette expertise présente-t-elle une pleine valeur probante. Les rapports médicaux transmis par la recourante ne sauraient par ailleurs remettre en question la valeur probante de l’expertise du 26 août 2009, dès lors qu’ils n’expliquent pas les raisons pour lesquelles les atteintes constatées en 2001 seraient toujours présentes en 2009. bb) Par ailleurs, les investigations médicales effectuées par l’OAI ne sont pas complètes. En effet, il aurait fallu inclure l’aspect neurologique, la recourante faisant état de vertiges et de vomissements, ainsi que d’endormissement de ses deux bras, atteintes sur lesquelles le Dr K__________ ne s’est pas prononcé. Or, ces aspects n’ont tout simplement pas été investigués. c) Ainsi, force est de constater que si l’état de la recourante s’est amélioré sur le plan psychique, la Cour de céans n’est pas en mesure de déterminer si tel est également le cas sur le plan physique, l’expertise du Dr K__________ ne répondant pas aux critères jurisprudentiels en matière de valeur probante et l’aspect neurologique n’ayant pas été investigué. Au contraire, il apparaît que les cervicalgies, lombalgies et gonalgies, déjà diagnostiquées en 2001, étaient toujours présentes en 2009 et que le syndrome du tunnel carpien, qui semblait s’être amélioré, avait toutefois récidivé. Or, comme cela a été relevé ci-dessus (consid. 4b), pour examiner s'il y a eu une modification importante du degré d'invalidité au sens de l'art. 17 LPGA, le juge doit généralement prendre en considération l'influence de l'état de santé sur la capacité de gain au moment où fut rendue la décision initiale ainsi que l'état de fait existant au moment de la décision attaquée. Par conséquent, dès lors que les rapports en mains de l’OAI en 2001 faisaient état d’une capacité de travail de 50% sans distinguer l’incapacité attribuable aux aspects somatiques de celle due aux aspects psychiques, il ne peut à l’évidence pas être considéré que l’incapacité de gain de 50% retenue en 2001 était uniquement due aux atteintes psychiques, ce dont le SMR était conscient comme cela ressort de sa note interne du 18 mai 2001 dans laquelle le Dr G__________ faisait état d’une appréciation globale de l’état de santé. Ainsi, tant que l’aspect somatique n’aura pas été instruit à satisfaction de droit, l’influence de l’état de santé de la recourante sur la capacité de gain au jour de la décision attaquée, soit en novembre 2009, ne peut être déterminée de manière suffisamment vraisemblable et la situation ne peut par conséquent être comparée à celle existant en octobre 2001. Partant, la Cour de céans considère qu’aucune modification de la situation de la recourante ayant concrètement des effets sur sa capacité de gain n’a été rendue vraisemblable de sorte qu’aucun motif de révision au sens de l’art. 17 LPGA n’est donné.</w:t>
      </w:r>
    </w:p>
    <w:p>
      <w:r>
        <w:t>A/4671/2009 - 18/20 -</w:t>
      </w:r>
    </w:p>
    <w:p>
      <w:r>
        <w:rPr>
          <w:b/>
        </w:rPr>
        <w:t>E. 7</w:t>
      </w:r>
    </w:p>
    <w:p>
      <w:r>
        <w:t>Reste encore à examiner si la décision du 12 octobre 2001 pouvait faire l’objet d’une reconsidération.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Dans le cas d’espèce, si la recourante n'a certes fait l'objet d'aucun examen approfondi lors de l'octroi de la rente, cela ne suffit pas encore à faire apparaître la décision du 12 octobre 2001 comme certainement erronée. Si une telle instruction apparaît judicieuse a posteriori, il n’en demeure pas moins que l'autorité compétente disposait des rapports de plusieurs médecins, dont le médecin d’arrondissement de la SUVA, de sorte que l'instruction du cas sur le plan médical n'apparaît pas si lacunaire que l'on doive admettre rétroactivement que, sans expertise, l'administration n'était pas en mesure de se prononcer sur le droit de la recourante à une rente. Il n’existe ainsi aucun motif permettant de reconsidérer la décision initiale.</w:t>
      </w:r>
    </w:p>
    <w:p>
      <w:r>
        <w:rPr>
          <w:b/>
        </w:rPr>
        <w:t>E. 8</w:t>
      </w:r>
    </w:p>
    <w:p>
      <w:r>
        <w:t>Compte tenu des considérations qui précèdent, le recours du 23 décembre 2009, complété le 16 mars 2010, sera admis et la décision querellée annulée.</w:t>
      </w:r>
    </w:p>
    <w:p>
      <w:r>
        <w:rPr>
          <w:b/>
        </w:rPr>
        <w:t>E. 9</w:t>
      </w:r>
    </w:p>
    <w:p>
      <w:r>
        <w:t>La procédure de recours en matière de contestations portant sur l’octroi ou le refus de prestations de l’AI étant soumise à des frais de justice (art. 69 al. 1bis LAI), un émolument de 1'000 fr. sera mis à la charge de l’intimé. Par ailleurs, la recourante</w:t>
      </w:r>
    </w:p>
    <w:p>
      <w:r>
        <w:t>A/4671/2009 - 19/20 - représentée par un avocat jusqu’au 6 août 2009, obtenant gain de cause, une indemnité de 1'000 fr. lui est accordée à titre de dépens (art. 61 let. g LPGA).</w:t>
      </w:r>
    </w:p>
    <w:p>
      <w:r>
        <w:t>A/4671/2009 - 20/20 -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