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ATAS/43/2024 vom 26. Januar 2024</w:t>
      </w:r>
    </w:p>
    <w:p>
      <w:r>
        <w:t>GE Cour de justice, 2024-01-26, FR</w:t>
      </w:r>
    </w:p>
    <w:p>
      <w:r>
        <w:rPr>
          <w:b/>
        </w:rPr>
        <w:t xml:space="preserve">Quelle: </w:t>
      </w:r>
      <w:r>
        <w:t>https://mcp.opencaselaw.ch/entscheid/ge_gerichte_ATAS_43_2024</w:t>
      </w:r>
    </w:p>
    <w:p>
      <w:r>
        <w:t>FR: GE_GERICHTE ATAS/43/2024 du 26 janvier 2024</w:t>
      </w:r>
    </w:p>
    <w:p>
      <w:r>
        <w:t>IT: GE_GERICHTE ATAS/43/2024 del 26 gennaio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Le délai de recours est de trente jours (art. 60 al. 1 LPGA ; art. 62 al. 1 let. a de la loi sur la procédure administrative du 12 septembre 1985 [LPA - E 5 10]). Interjeté dans la forme (art. 61 let. b LPGA) et le délai prévus par la loi, le recours est recevable.</w:t>
      </w:r>
    </w:p>
    <w:p>
      <w:r>
        <w:t>A/2179/2023 - 4/14 -</w:t>
      </w:r>
    </w:p>
    <w:p>
      <w:r>
        <w:rPr>
          <w:b/>
        </w:rPr>
        <w:t>E. 2.1</w:t>
      </w:r>
    </w:p>
    <w:p>
      <w:r>
        <w:t>Le 1er janvier 2022, les modifications de la LAI du 19 juin 2020 (développement continu de l’AI ; RO 2021 705) ainsi que celles du 3 novembre 2021 du règlement sur l’assurance-invalidité du 17 janvier 1961 (RAI - RS 831.201 ; RO 2021 706) sont entrées en vigueur.</w:t>
      </w:r>
    </w:p>
    <w:p>
      <w:r>
        <w:rPr>
          <w:b/>
        </w:rPr>
        <w:t>E. 2.1.1</w:t>
      </w:r>
    </w:p>
    <w:p>
      <w:r>
        <w:t>; 130 V 396 consid. 5.3 et 6). 5.3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5.4 Selon la jurisprudence, en cas de troubles psychiques, la capacité de travail réellement exigible doit être évaluée dans le cadre d'une procédure d'établissement des faits structurée et sans résultat prédéfini, permettant d'évaluer globalement, sur</w:t>
      </w:r>
    </w:p>
    <w:p>
      <w:r>
        <w:t>A/2179/2023 - 6/14 -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 6.</w:t>
      </w:r>
    </w:p>
    <w:p>
      <w:r>
        <w:t>6.1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t>A/2179/2023 - 7/14 - 6.2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6.2.1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6.2.2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6.2.3 En ce qui concerne les rapports établis par les médecins traitants, le juge peut et doit tenir compte du fait que, selon l'expérience, le médecin traitant est</w:t>
      </w:r>
    </w:p>
    <w:p>
      <w:r>
        <w:t>A/2179/2023 - 8/14 -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6.2.4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I.514/06 du 25 mai 2007 consid. 2.2.1, in SVR 2008 IV Nr.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 7.</w:t>
      </w:r>
    </w:p>
    <w:p>
      <w:r>
        <w:t>7.1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7.2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 126 V 353 consid. 5b et les références ; 125 V 193 consid. 2 et les références). Aussi n’existe-t-il pas, en droit des assurances sociales, un principe selon lequel l’administration ou le juge</w:t>
      </w:r>
    </w:p>
    <w:p>
      <w:r>
        <w:t>A/2179/2023 - 9/14 - devrait statuer, dans le doute, en faveur de l’assuré (ATF 135 V 39 consid. 6.1 et la référence). 8.</w:t>
      </w:r>
    </w:p>
    <w:p>
      <w:r>
        <w:t>8.1 En l'espèce, l'intimé s'est fondé sur l'avis du SMR du 28 mars 2023, lui-même basé sur le rapport d'expertise rhumato-psychiatrique du 16 mars 2023, pour nier le droit de la recourante à toute prestation de l'assurance-invalidité. 8.2 Sur le plan somatique, l'expert rhumatologue a étudié les pièces médicales au dossier, y compris celles apportées par l'expertisée (dossier intimé p. 130-131, 133-139, 154 et 160), recueilli les plaintes de celle-ci (p. 147-148), procédé à l'anamnèse (p. 148-149) et à l'examen clinique (p. 151-155), puis livré son appréciation du cas (p. 156-160). L'expert, qui a relevé que l'examen était normal (p. 156), a exclu le syndrome de fibromyalgie selon les critères établis par l'American College of Rhumatology (ACR) 2010 revus en 2016 (p. 156), de même qu'un rhumatisme inflammatoire (p. 154, 157). Il a retenu les diagnostics de status post tendinopathie calcifiante de l'épaule gauche traitée, et de tunnel carpien gauche des deux côtés pour lequel il préconisait une opération (p. 157-158). Il a conclu à une pleine capacité de travail dans l'activité habituelle, sans diminution de rendement (p. 159), hormis durant la période post chirurgicale du tunnel carpien (p. 140). Aucune pièce médicale ne fait état d'élément clinique ou diagnostique qui n'aurait pas été pris en compte par l'expert rhumatologue et pouvant justifier que l'on s'écarte du point de vue de celui-ci. Au demeurant, la recourante ne conteste pas l'appréciation de l'expert rhumatologue, qu'il convient donc de suivre. 8.3 Sur le plan psychique, l'expert psychiatre a également étudié les pièces médicales du dossier, y compris celles apportées par l'expertisée (dossier intimé p. 130-131, 133-139 et 177), tenu compte des plaintes de celle-ci (p. 161), procédé à l'anamnèse (p. 162-164) et à l'examen clinique (p. 167) complété par des examens de laboratoire (p. 167, 178-179), avant d'exposer son appréciation détaillée et motivée du cas (p. 169-177). L'expert a retenu le diagnostic psychique, non incapacitant, de troubles anxieux et dépressifs mixtes (F41.2 ; p. 172), de gravité mineure (p. 173). Il y a ainsi lieu d'examiner le caractère incapacitant ou pas de ce diagnostic au regard des critères jurisprudentiels (ATF 141 V 281 consid. 4). 8.3.1 S’agissant de la catégorie « degré de gravité fonctionnelle », l'expert psychiatre a constaté que la recourante était orientée aux quatre modes. L'humeur était neutre la majeure partie de l'entretien. Elle avait pleuré au début de celui-ci pendant cinq à six minutes et indiqué être stressée par l'expertise, mais elle s'était détendue au fur et à mesure, et était à la fin souriante (p. 166-167, 170). Elle avait pleuré également durant deux à trois minutes lorsqu'elle avait évoqué tant sa séparation avec le père de ses enfants que son mal-être qui l'obligeait à se coucher</w:t>
      </w:r>
    </w:p>
    <w:p>
      <w:r>
        <w:t>A/2179/2023 - 10/14 - sur le sol (à la maison). Elle partageait le focus visuel. L'attention et la concentration étaient stables et de bonnes qualité, sans trouble de la mémoire, tristesse pathologique, ralentissement psychomoteur, symptôme neurovégétatif, accélération de la respiration, palpitation, tremblement, signes indirects de fatigue ou de fatigabilité (absence de bâillements, de fléchissement de l'attention ou de cernes sous les yeux), ni trouble psychotique. Ses réponses étaient claires et cohérentes. Elle n'exprimait pas de détresse à l'évocation de ses douleurs, qui selon ses dires, étaient présentes surtout la nuit, et lors des moments de stress (p. 167). L'expert a relevé que les symptômes anxieux que la recourante affirmait présenter lors de rendez-vous programmés où elle pleurait pendant quelques minutes n'avaient pas d'impact sur son autonomie dans les tâches élémentaires de la vie quotidienne. Elle était capable de se déplacer seule, elle avait du plaisir à effectuer de nombreuses activités occupationnelles et distractives, et elle entretenait des relations familiales de qualité. Il s'agissait d'une association de symptômes dont la durée et la sévérité étaient insuffisantes pour qu'un diagnostic séparé de troubles anxieux caractérisés ou de troubles dépressifs caractérisés (autre que celui retenu) soit posé (p. 170). Sur cette base, l'expert n'a retenu aucune limitation objective d'un point de vue psychiatrique (p. 170, 174). L'expert a ensuite expliqué les motifs pour lesquels il s'écartait des diagnostics retenus par le docteur H______, psychiatre traitant, dans ses rapports des 1er novembre 2021 et 4 mai 2022 dans lesquels celui-ci avait mentionné, au titre de diagnostics, « F43.1, F32.2, F40.1, et F41.0 » (p. 76 et 90). Ainsi, en cas d'épisode dépressif sévère (sans symptômes psychotiques ; F32.2), le sujet présente un état de détresse associé à une agitation ou un ralentissement marqué. Le tableau est dominé par une perte de l'estime de soi, des idées de dévalorisation, des sentiments de culpabilité et comporte des idées de suicide manifestes. Le sujet est habituellement incapable de poursuivre ses activités sociales, professionnelles ou ménagères. Or, cette description ne correspondait pas aux données objectives de l'examen clinique (absence de ralentissement, d'agitation, de tristesse pathologique, de troubles de la concentration et de l'attention) ni ne ressortait de l'anamnèse ; la recourante n'avait rapporté ni idées suicidaires (elle craignait du reste la mort) ni idées de culpabilité, et elle était autonome dans les activités ménagères et pour ses déplacements (p. 171, 175). Ensuite, le diagnostic d'état de stress post-traumatique (F43.1) ne pouvait pas être admis, en l'absence d'une catastrophe naturelle ou d'origine humaine, de guerre, d'un accident grave, de mort violente en présence du sujet, d'actes de torture, de terrorisme ou de viol. Seul le licenciement de la recourante semblait avoir été un événement notable, qui n'était toutefois pas comparable à ceux pouvant justifier ce diagnostic. De plus, celle-ci n'avait présenté aucun signe clinique en faveur dudit</w:t>
      </w:r>
    </w:p>
    <w:p>
      <w:r>
        <w:t>A/2179/2023 - 11/14 - diagnostic, tel que cauchemars, flashbacks, comportements d'évitement, ou états d'hypervigilance et de qui-vive (p. 171-172). Le diagnostic de phobies sociales (F40.1) était exclu chez une expertisée qui partageait le focus visuel, avait fait des études (trois années de cycle d'orientation) et travaillé dans le domaine de la vente en contact régulier avec la clientèle pendant une longue période (avant de devenir accueillante familiale ; p. 19), faisait ses courses, se déplaçait en transports publics, et ne manifestait pas d'expression neurovégétative dans des situations sociales déterminées (p. 172). Enfin, le diagnostic de troubles paniques (F41.0) ne pouvait pas être retenu dans la mesure où la recourante ne présentait aucune angoisse à la maison, et qu'elle était simplement anxieuse lors de rendez-vous programmés, sans ressentir brutalement de palpitations, de douleurs thoraciques, de sensations d'étouffement, d'étourdissement ou de sentiment d'irréalité, la poussant à fuir précipitamment l'endroit où elle se trouvait (p. 172). 8.3.2 S’agissant du « succès du traitement et de la réadaptation », la recourante consulte une psychologue une fois par semaine et son psychiatre une fois tous les deux à trois mois depuis un an et demi. Elle prend des médicaments (p. 161, 165), de manière irrégulière car elle est « anti-médicaments » (p. 169, 174), ce qui témoigne de l'absence de gravité de son affection psychique, ce d'autant plus que les molécules antidépressives et les posologies prescrites n'ont pas été modifiées en dépit de la sévérité du diagnostic retenu par le psychiatre traitant (p. 171-172). Il ne ressort d'ailleurs pas du dossier qu'elle a été hospitalisée pour des motifs psychiatriques ni qu'elle serait confrontée à un échec de toute thérapie médicalement indiquée. 8.3.3 S’agissant des « comorbidités », comme on l'a vu plus haut, les troubles somatiques de la recourante ne sont pas incapacitants. 8.3.4 S’agissant du complexe de « la personnalité », ni l'expert ni les psychiatres traitants ne retiennent un trouble spécifique de la personnalité au sens d’une classification diagnostique reconnue. 8.3.5 Pour ce qui est du « contexte social », la recourante, qui vit avec son fils aîné, a déclaré entretenir de bonnes relations avec ses deux fils (p. 164), sa mère qu'elle voit régulièrement, ainsi que sa sœur. Elle rencontre également un ami une fois par mois, voire une fois tous les deux mois, et son frère tous les deux mois (p. 164). Ces personnes la soutiennent (p. 170). Son contexte familial et social lui procure donc des ressources mobilisables. 8.3.6 En ce qui concerne la catégorie « cohérence », les atteintes à la santé ne limitent pas la recourante dans l'exécution de ses travaux habituels, puisqu'elle est autonome dans les fonctions de la vie quotidienne. En effet, la recourante cuisine, s'occupe seule de son ménage à son rythme (en fractionnant les tâches), utilise les transports publics, fait les courses, regarde des séries et films, prend soin de ses quatre chats, aime chanter, se promène, tricote et fait du crochet (p. 149, 165-166).</w:t>
      </w:r>
    </w:p>
    <w:p>
      <w:r>
        <w:t>A/2179/2023 - 12/14 - Son hygiène personnelle est en outre conservée (p. 167). Dans ces conditions, il convient de constater que les limitations invoquées par la recourante ne sont pas uniformes dans tous les domaines de la vie et rendent son comportement peu cohérent. Qui plus est, l'absence de médication majeure et la mauvaise compliance à la prise des médicaments, malgré l'allégation d'importantes souffrances, peut être interprétée sous l'angle de la cohérence comme un indicateur plaidant en défaveur d'une atteinte incapacitante à la santé (cf. ATF 141 V 281 consid. 4.4.2). 8.3.7 Au vu de l'analyse des indicateurs jurisprudentiels, on doit admettre, avec l'expert psychiatre, que les troubles psychiques de la recourante ne sont pas incapacitants dans l'activité habituelle (ni dans une activité adaptée ; p. 176), d'autant que les arguments formulés par celle-ci ne sont pas de nature à discréditer les conclusions de cet expert. À cet égard, le fait que ce dernier ait tiré d'autres conclusions de faits connus et se soit ainsi écarté des diagnostics posés par le Dr H______ et des conclusions de ce dernier sur l'incapacité de travail totale ne suffit pas pour nier la valeur probante de son expertise. En effet, l'expert a pris en considération l'appréciation de son confrère et expliqué de manière circonstanciée les raisons pour lesquelles elle ne pouvait pas être suivie. C'est le lieu de rappeler que l'influence d'une atteinte à la santé sur la capacité de travail est davantage déterminante que sa qualification en matière d'assurance-invalidité (ATF 142 V 106 consid. 4.4). Ainsi, ce qui importe, c'est de déterminer si, en dépit des troubles psychiques dont la recourante se plaint, elle est en mesure d'exécuter une tâche ou une action, ce qui est le cas au vu des explications convaincantes de l'expert. Par ailleurs, la durée de l'expertise (psychiatrique d'une heure ; dossier intimé p. 130) n'est pas en soi un critère de la valeur probante d'un rapport médical. La critique de la recourante à ce propos ne saurait remettre en question la valeur du travail de l'expert psychiatre, dont le rôle consistait à porter un jugement sur l'état de santé de la recourante dans un délai relativement bref (cf. arrêt du Tribunal fédéral 9C_457/2021 du 13 avril 2022 consid. 6.2). Le rapport du Dr G______ du 14 août 2023, selon lequel la capacité de travail de la recourante est de 50%, n'est pas susceptible non plus de mettre en doute les conclusions - probantes - de l'expert psychiatre, dès lors qu'il est sommaire, dépourvu de motivation, et qu'il a trait aux consultations ayant eu lieu les 13 et 26 juin et 10 juillet 2023, soit postérieurement à la date déterminante de la décision litigieuse du 31 mai 2023. 8.4 Au vu de ce qui précède, la mise en œuvre d'une expertise psychiatrique, sollicitée par la recourante, est, par appréciation anticipée des preuves (ATF 122 II 464 consid. 4a), inutile, de sorte que la chambre de céans n’y donnera pas suite. 8.5 Ainsi, vu le statut mixte de la recourante (80% dans l'activité lucrative et 20% dans l'activité ménagère, statut qui n'est pas contesté ni contestable ; cf. art. 28a al. 2 et 3 LAI en corrélation avec l'art. 27bis RAI ; arrêt du Tribunal fédéral</w:t>
      </w:r>
    </w:p>
    <w:p>
      <w:r>
        <w:t>A/2179/2023 - 13/14 - 9C_722/2016 du 17 février 2017 consid. 2.2 concernant les circonstances permettant de déterminer l'éventualité d'une activité lucrative partielle ou complète), celle-ci, qui est pleinement apte à exercer son activité habituelle et qui effectue en outre ses tâches ménagères (à son rythme), n'est à l'évidence pas invalide. Même dans l'hypothèse où l'on retenait pour la recourante le statut de personne active à plein temps (cf. art. 28a al. 1 LAI ; art. 16 LPGA), cela ne changerait rien à l'issue du litige, puisque la pleine capacité de travail dans toute activité exclut toute perte de gain.</w:t>
      </w:r>
    </w:p>
    <w:p>
      <w:r>
        <w:rPr>
          <w:b/>
        </w:rPr>
        <w:t>E. 2.1.2</w:t>
      </w:r>
    </w:p>
    <w:p>
      <w:r>
        <w:t>En l’occurrence, un éventuel droit à une rente d’invalidité naîtrait au plus tôt le 1er janvier 2022, soit six mois après le dépôt de la demande du 27 juillet 2021 (cf. art. 29 al. 1 LAI), de sorte que les dispositions légales applicables seront citées dans leur nouvelle teneur.</w:t>
      </w:r>
    </w:p>
    <w:p>
      <w:r>
        <w:rPr>
          <w:b/>
        </w:rPr>
        <w:t>E. 3</w:t>
      </w:r>
    </w:p>
    <w:p>
      <w:r>
        <w:t>Le litige porte sur le droit de la recourante à une rente d'invalidité et à des mesures de réadaptation professionnelle.</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4.2</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w:t>
      </w:r>
    </w:p>
    <w:p>
      <w:r>
        <w:rPr>
          <w:b/>
        </w:rPr>
        <w:t>E. 4.3</w:t>
      </w:r>
    </w:p>
    <w:p>
      <w:r>
        <w:t>Est réputée invalidité l’incapacité de gain totale ou partielle qui est présumée permanente ou de longue durée (art. 8 al. 1 LPGA).</w:t>
      </w:r>
    </w:p>
    <w:p>
      <w:r>
        <w:t>A/2179/2023 - 5/14 -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w:t>
      </w:r>
    </w:p>
    <w:p>
      <w:r>
        <w:rPr>
          <w:b/>
        </w:rPr>
        <w:t>E. 9</w:t>
      </w:r>
    </w:p>
    <w:p>
      <w:r>
        <w:t>Reste à déterminer si la recourante a droit à une mesure de réadaptation professionnelle.</w:t>
      </w:r>
    </w:p>
    <w:p>
      <w:r>
        <w:rPr>
          <w:b/>
        </w:rPr>
        <w:t>E. 9.1</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w:t>
      </w:r>
    </w:p>
    <w:p>
      <w:r>
        <w:rPr>
          <w:b/>
        </w:rPr>
        <w:t>E. 9.2</w:t>
      </w:r>
    </w:p>
    <w:p>
      <w:r>
        <w:t>En l'espèce, la recourante dispose d'une pleine capacité de travail dans son activité habituelle, et comme on vient de le voir, elle n'est pas invalide. Dans ces conditions, l'octroi d'une mesure de réadaptation professionnelle financée par l'assurance-invalidité ne se justifie pas. En conséquence, le recours sera rejeté.</w:t>
      </w:r>
    </w:p>
    <w:p>
      <w:r>
        <w:rPr>
          <w:b/>
        </w:rPr>
        <w:t>E. 10</w:t>
      </w:r>
    </w:p>
    <w:p>
      <w:r>
        <w:t>La recourante, qui succombe, n’a pas droit à des dépens (art. 61 let. g LPGA a contrario). Il convient de renoncer à la perception d'un émolument, la recourante étant au bénéfice de l'assistance juridique (art. 69 al. 1bis LAI et 13 al. 1 du règlement sur les frais, émoluments et indemnités en procédure administrative du 30 juillet 1986 [RFPA - E 5 10.03]).</w:t>
      </w:r>
    </w:p>
    <w:p>
      <w:r>
        <w:t>A/2179/2023 - 14/14 -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