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ATAS/43/2015 vom 23. Januar 2015</w:t>
      </w:r>
    </w:p>
    <w:p>
      <w:r>
        <w:t>GE Cour de justice, 2015-01-23, FR</w:t>
      </w:r>
    </w:p>
    <w:p>
      <w:r>
        <w:rPr>
          <w:b/>
        </w:rPr>
        <w:t xml:space="preserve">Quelle: </w:t>
      </w:r>
      <w:r>
        <w:t>https://mcp.opencaselaw.ch/entscheid/ge_gerichte_ATAS_43_2015</w:t>
      </w:r>
    </w:p>
    <w:p>
      <w:r>
        <w:t>FR: GE_GERICHTE ATAS/43/2015 du 23 janvier 2015</w:t>
      </w:r>
    </w:p>
    <w:p>
      <w:r>
        <w:t>IT: GE_GERICHTE ATAS/43/2015 del 23 gennaio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A/3828/2013 - 9/15 - entrée en vigueur (ATF 117 V 93 consid. 6b, ATF 112 V 360 consid. 4a; RAMA 1998 KV 37 p. 316 consid. 3b).</w:t>
      </w:r>
    </w:p>
    <w:p>
      <w:r>
        <w:rPr>
          <w:b/>
        </w:rPr>
        <w:t>E. 3</w:t>
      </w:r>
    </w:p>
    <w:p>
      <w:r>
        <w:t>En l'espèce, au vu des faits pertinents, du point de vue matériel, le droit éventuel aux prestations doit être examiné au regard de l'ancien droit pour la période jusqu'au 31 décembre 2002, et, après le 1er janvier 2003,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4322).Le délai de recours est de 30 jours (art. 60 al. 1 LPGA). Déposé dans les forme et délai prévus par la loi, le présent recours est recevable (art. 39 al. 1 et 60 al. 2 LPGA).</w:t>
      </w:r>
    </w:p>
    <w:p>
      <w:r>
        <w:rPr>
          <w:b/>
        </w:rPr>
        <w:t>E. 4</w:t>
      </w:r>
    </w:p>
    <w:p>
      <w:r>
        <w:t>Le litige porte sur le droit de l’assuré à des prestations AI.</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Les atteintes à la santé psychique peuvent, comme les atteintes physiques, entraîner une invalidité au sens de l'art. 4 al. 1 LAI en relation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w:t>
      </w:r>
    </w:p>
    <w:p>
      <w:r>
        <w:t>A/3828/2013 - 10/15 -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8</w:t>
      </w:r>
    </w:p>
    <w:p>
      <w:r>
        <w:t>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w:t>
      </w:r>
    </w:p>
    <w:p>
      <w:r>
        <w:rPr>
          <w:b/>
        </w:rPr>
        <w:t>E. 9</w:t>
      </w:r>
    </w:p>
    <w:p>
      <w:r>
        <w:t>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w:t>
      </w:r>
    </w:p>
    <w:p>
      <w:r>
        <w:rPr>
          <w:b/>
        </w:rPr>
        <w:t>E. 10</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w:t>
      </w:r>
    </w:p>
    <w:p>
      <w:r>
        <w:t>A/3828/2013 - 11/15 - 318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A/3828/2013 - 12/15 - sociales, il y a lieu toutefois de poser des exigences sévères quant à l'impartialité de l'expert (ATF 125 V 353 consid. 3b/ee, ATFA non publié du 13 mars 2000, I 592/99, consid. b/ee).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(consid. 4.4.1.4 in fine de l'arrêt précité du 28 juin 2011).</w:t>
      </w:r>
    </w:p>
    <w:p>
      <w:r>
        <w:rPr>
          <w:b/>
        </w:rPr>
        <w:t>E. 13</w:t>
      </w:r>
    </w:p>
    <w:p>
      <w:r>
        <w:t>En l’espèce, l’OAI a confié un mandat d’expertise au Dr E______ afin qu’il examine l’assuré. Dans son rapport d’expertise du 12 juillet 2012, ce médecin a considéré que la capacité de travail de l’assuré était nulle depuis avril 2011 dans les professions exercées jusque-là. Il pourrait en revanche exercer une activité adaptée à ses limitations fonctionnelles, découlant essentiellement de ses troubles dégénératifs au niveau lombaire et d’une ancienne fracture au niveau sous trochantérien droit avec raccourcissement du membre inférieur droit, à 90% à compter du jour de l’expertise, et ce sans autre diminution de rendement. Une expertise a par ailleurs été confiée au Dr F______, lequel a établi son rapport le 11 avril 2013. Aucun diagnostic n’est retenu sur le plan psychiatrique, de sorte que la capacité de travail est entière dans l’activité habituelle. L’OAI s’est fondé sur ces deux expertises, soit sur un taux de capacité de travail de 90% dans une activité adaptée, pour calculer le degré d’invalidité de l’assuré. Celui-ci devant ainsi être fixé à 10%, la demande de prestations AI a été rejetée.</w:t>
      </w:r>
    </w:p>
    <w:p>
      <w:r>
        <w:t>A/3828/2013 - 13/15 - L’assuré conteste les conclusions du rapport d’expertise du Dr F______ et estime qu’il n’a pas valeur probante au sens de la jurisprudence. Il a à cet égard décrit des relations plutôt difficiles avec le médecin, du reste confirmées par celui-ci. La chambre de céans s’étonne à cet égard que le Dr F______ n’ait pas pris contact avec la Dresse G______. Elle constate par ailleurs que la Dresse G______ a, dans ses rapports des 21 mars et 8 juin 2013, indiqué que son patient souffrait d’un trouble neuropsychiatrique développé dans les suites d’un vécu traumatique survenu en 2001 aux Etats-Unis, et a posé le diagnostic d’un épisode dépressif sévère avec symptômes psychotiques et d’une modification durable de la personnalité après une période de catastrophe. Elle a expliqué qu’elle ne partageait pas l’avis du Dr F______ et précisé pour quels motifs. Il appert de surcroît que le Dr H______ fait état de diagnostics paraissant proches de ceux mis en évidence par la Dresse G______, alors que l’expert n’en a posé aucun. Certes ne suffit-il pas que le médecin traitant exprime une opinion différente de celle d’un expert pour faire douter des conclusions de celui-ci, on ne peut cependant s’empêcher, au vu de ce qui précède, de douter de la valeur probante de l’expertise, de sorte qu’il y a lieu de considérer qu’on ne peut suivre sans autre les conclusions de l’expert (ATAS/1264/2013). Partant, le dossier n’est pas en état d’être jugé. Eu égard à ces considérations, il se justifie d’ordonner une expertise psychiatrique, laquelle sera confiée au Dr I______.</w:t>
      </w:r>
    </w:p>
    <w:p>
      <w:r>
        <w:t>A/3828/2013 - 14/15 - PAR CES MOTIFS, LA CHAMBRE DES ASSURANCES SOCIALES : Statuant préparatoirement 1. Ordonne une expertise psychiatrique, l'expert ayant pour mission d'examiner et d'entendre Monsieur A______, en présence d'un interprète de langue arabe, après s'être entouré de tous les éléments utiles et après avoir pris connaissance du dossier de l'intimé, ainsi que du dossier de la présente procédure, en s'entourant d'avis de tiers au besoin. 2. Commet à ces fins le Docteur I______, spécialiste FMH en psychiatrie. 3. Charge l'expert de déterminer les éléments suivants et de répondre aux questions ci- après: 1. Anamnèse détaillée. 2. Données subjectives du recourant. 3. Constatations objectives. 4. Diagnostic(s): a) Quel(s) diagnostic(s) retenez-vous? Depuis quelle date? b) S'agissant des diagnostics d’épisode dépressif sévère avec symptômes psychotiques et modification durable de la personnalité après une période de catastrophes retenus par la Dresse G______ et exclus par le Dr F______, quelle est votre position motivée, avec discussion des avis et arguments exposés par les praticiens précités? c) Qu’en est-il du diagnostic de stress post traumatique ? d) Sa réaction contre le Dr F______ peut-elle s’expliquer sur le plan psychiatrique ? 5. L'activité exercée jusqu'ici est-elle encore exigible? Dans l'affirmative: a) Quel est le taux d'activité exigible? b) Depuis quelle date? c) Y a-t-il une diminution de rendement? Si oui dans quelle mesure? 6. Dans quelle mesure une activité lucrative adaptée est-elle raisonnablement exigible du recourant? Dans l'affirmative: a) Dans quel domaine? b) Quel est le taux d'activité exigible?</w:t>
      </w:r>
    </w:p>
    <w:p>
      <w:r>
        <w:t>A/3828/2013 - 15/15 - c) Depuis quelle date? d) Y a-t-il une diminution de rendement? Si oui dans quelle mesure? 7. Des mesures de réadaptation professionnelle sont-elles envisageables? Quelles sont leurs chances de succès? 8. La capacité de travail peut-elle être améliorée par des mesures médicales? Dans l'affirmative: a) Lesquelles? b) Qu'en est-il en particulier de la prise de médicaments? 9. Formuler un pronostic global. 4. Toutes remarques utiles et propositions de l'expert. 5. Invite l'expert à déposer à sa meilleure convenance un rapport en trois exemplaires à la chambre de céans. 6. Réserve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