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ATAS/439/2024 vom 12. Juni 2024</w:t>
      </w:r>
    </w:p>
    <w:p>
      <w:r>
        <w:t>GE Cour de justice, 2024-06-12, FR</w:t>
      </w:r>
    </w:p>
    <w:p>
      <w:r>
        <w:rPr>
          <w:b/>
        </w:rPr>
        <w:t xml:space="preserve">Quelle: </w:t>
      </w:r>
      <w:r>
        <w:t>https://mcp.opencaselaw.ch/entscheid/ge_gerichte_ATAS_439_2024</w:t>
      </w:r>
    </w:p>
    <w:p>
      <w:r>
        <w:t>FR: GE_GERICHTE ATAS/439/2024 du 12 juin 2024</w:t>
      </w:r>
    </w:p>
    <w:p>
      <w:r>
        <w:t>IT: GE_GERICHTE ATAS/439/2024 del 12 giugno 2024</w:t>
      </w:r>
    </w:p>
    <w:p>
      <w:pPr>
        <w:pStyle w:val="Heading2"/>
      </w:pPr>
      <w:r>
        <w:t>Erwägungen</w:t>
      </w:r>
    </w:p>
    <w:p>
      <w:r>
        <w:rPr>
          <w:b/>
        </w:rPr>
        <w:t>E. 40</w:t>
      </w:r>
    </w:p>
    <w:p>
      <w:r>
        <w:t>Dans sa duplique du 5 novembre 2021, la défenderesse a maintenu ses conclusions.</w:t>
      </w:r>
    </w:p>
    <w:p>
      <w:r>
        <w:rPr>
          <w:b/>
        </w:rPr>
        <w:t>E. 41</w:t>
      </w:r>
    </w:p>
    <w:p>
      <w:r>
        <w:t>Le 7 avril 2022, la défenderesse s'est déterminée sur le dossier de l'assurance- invalidité dont la chambre de céans avait ordonné l'apport, et a maintenu ses conclusions. La demanderesse n'avait pas apporté la preuve de s'être trouvée, au degré de la vraisemblance prépondérante, en incapacité de gain durant la période litigieuse. En particulier, le Dr L______ avait attesté que seule une activité professionnelle manuelle ou avec port de charges lourdes était compromise. Or, la demanderesse n'exerçait pas de travail manuel. Le Dr I______ avait considéré qu'une incapacité de travail formelle était difficile à justifier, à moins de tenir compte des douleurs subjectives.</w:t>
      </w:r>
    </w:p>
    <w:p>
      <w:r>
        <w:rPr>
          <w:b/>
        </w:rPr>
        <w:t>E. 42</w:t>
      </w:r>
    </w:p>
    <w:p>
      <w:r>
        <w:t>Par ordonnance du 23 juin 2022, la chambre de céans a mis en œuvre une expertise judiciaire et l'a confiée au docteur N______, psychiatre-psychothérapeute FMH.</w:t>
      </w:r>
    </w:p>
    <w:p>
      <w:r>
        <w:rPr>
          <w:b/>
        </w:rPr>
        <w:t>E. 43</w:t>
      </w:r>
    </w:p>
    <w:p>
      <w:r>
        <w:t>Dans son rapport du 12 octobre 2022, l'expert judicaire a émis les diagnostics de trouble anxieux et dépressif mixte et de trouble dépressif récurrent, actuellement en rémission. Il ne s'est pas prononcé sur la présence d'un syndrome douloureux somatoforme persistant, en considérant qu'un examen complémentaire rhumatologique et une appréciation bi-disciplinaire étaient nécessaires, la présence de douleurs importantes sans substrat organique n'étant pas établie. Sur le plan strictement psychiatrique, les limitations fonctionnelles étaient discrètes, surmontables et sans répercussion sur la capacité de travail dans une activité adaptée à l'état somatique de la demanderesse.</w:t>
      </w:r>
    </w:p>
    <w:p>
      <w:r>
        <w:rPr>
          <w:b/>
        </w:rPr>
        <w:t>E. 44</w:t>
      </w:r>
    </w:p>
    <w:p>
      <w:r>
        <w:t>Dans ses observations sur expertise, la défenderesse a persisté dans ses conclusions. Elle a relevé que, sur le plan rhumatologique, la situation médicale était connue. Il n'était ainsi pas nécessaire de mettre en œuvre une expertise bi-disciplinaire, comme préconisée par l'expert psychiatre. Aucune incapacité de travail n'étant attestée par celui-ci, la capacité de travail de la demanderesse devait être considérée comme entière durant la période litigieuse. De surcroît, cette dernière n'avait pas la qualité pour agir pour réclamer le paiement d'indemnités journalières pour la période du 31 octobre au 31 décembre 2019, dès lors qu'elle avait déjà perçu pour ces deux mois la totalité du salaire de la part de son ancien employeur. Tout au plus pourrait-elle demander les indemnités journalières pour la période du 1er janvier 2020 au 29 septembre 2021.</w:t>
      </w:r>
    </w:p>
    <w:p>
      <w:r>
        <w:rPr>
          <w:b/>
        </w:rPr>
        <w:t>E. 45</w:t>
      </w:r>
    </w:p>
    <w:p>
      <w:r>
        <w:t>La demanderesse s'est déterminée le 15 décembre 2022 sur l'expertise judiciaire et a proposé d'attendre les conclusions de l'expertise pluridisciplinaire que l'OAI allait mettre en œuvre. Elle a par ailleurs relevé que l'expert avait considéré que si les douleurs étaient pour une part importante dépourvues de substrat organique, il y</w:t>
      </w:r>
    </w:p>
    <w:p>
      <w:r>
        <w:t>A/2413/2021 - 8/15 - aurait lieu de retenir le diagnostic de syndrome somatoforme douloureux persistant. L'expertise judiciaire devait dès lors être complétée par une expertise rhumatologique.</w:t>
      </w:r>
    </w:p>
    <w:p>
      <w:r>
        <w:rPr>
          <w:b/>
        </w:rPr>
        <w:t>E. 46</w:t>
      </w:r>
    </w:p>
    <w:p>
      <w:r>
        <w:t>Par écritures du 16 décembre 2022, la défenderesse s'est opposée et à la suspension de la procédure et à une expertise rhumatologique.</w:t>
      </w:r>
    </w:p>
    <w:p>
      <w:r>
        <w:rPr>
          <w:b/>
        </w:rPr>
        <w:t>E. 47</w:t>
      </w:r>
    </w:p>
    <w:p>
      <w:r>
        <w:t>Par ordonnance du 10 janvier 2023, la chambre de céans a suspendu la procédure jusqu'à réception de l'expertise pluridisciplinaire mise en œuvre par l'OAI.</w:t>
      </w:r>
    </w:p>
    <w:p>
      <w:r>
        <w:rPr>
          <w:b/>
        </w:rPr>
        <w:t>E. 48</w:t>
      </w:r>
    </w:p>
    <w:p>
      <w:r>
        <w:t>Le 18 janvier 2024, l'OAI a communiqué à la chambre de céans le rapport d'expertise du 6 juillet 2023 de O______ (ci-après: le centre d'expertises). Les médecins examinateurs étaient les docteurs P______, spécialiste FMH en médecine interne générale, Q______, spécialiste FMH en chirurgie orthopédique et traumatologie de l'appareil locomoteur, R______, rhumatologue FMH, et S______, psychiatre-psychothérapeute FMH. Dans leur évaluation consensuelle, les experts ont retenu les diagnostics de lombalgies mécaniques dégénératives avec discopathies, coxalgies droites, gonalgies gauches, hépatite B chronique, actuellement inactive, syndrome de l'intestin irritable et de kyste annexiel droit non compliqué. Il y avait des limitations fonctionnelles, mais l'activité habituelle respectait celles-ci. Il n'y avait en outre pas d'aspects liés à la personnalité pouvant avoir une incidence sur les ressources de la demanderesse. La capacité de travail était entière dans l'activité habituelle avec une perte de rendement de 10% dès avril 2019. La demanderesse ne présentait par ailleurs pas de syndrome somatoforme douloureux persistant, en l'absence d'état de détresse et des items sémiologiques requis, selon l'expert psychiatre qui a également relevé que le substrat somatique expliquait partiellement les douleurs.</w:t>
      </w:r>
    </w:p>
    <w:p>
      <w:r>
        <w:rPr>
          <w:b/>
        </w:rPr>
        <w:t>E. 49</w:t>
      </w:r>
    </w:p>
    <w:p>
      <w:r>
        <w:t>Le 25 janvier 2024, la chambre de céans a repris l'instruction de la cause.</w:t>
      </w:r>
    </w:p>
    <w:p>
      <w:r>
        <w:rPr>
          <w:b/>
        </w:rPr>
        <w:t>E. 50</w:t>
      </w:r>
    </w:p>
    <w:p>
      <w:r>
        <w:t>Le 21 février 2024, la défenderesse s'est déterminée sur cette expertise et a maintenu ses conclusions. Le taux d'occupation de la demanderesse ayant été de 70%, elle ne subissait aucune incapacité de travail, dès lors que les experts du centre d'expertises ont retenu une capacité de travail de 90% dans l'activité habituelle. La défenderesse s'est également prévalue de la nullité du contrat d'assurance, dans la mesure où le sinistre, à savoir une incapacité de travail de 10% dès avril 2019, selon l'expertise pluridisciplinaire, était déjà réalisé au début de ce contrat, étant précisé que la demanderesse avait commencé à travailler chez son dernier employeur le 5 mai 2019. Celle-ci n'avait pas non plus la qualité pour agir pour la période du 31 octobre au 31 décembre 2019, son employeur lui avant payé l'intégralité du salaire afférent à cette période. 51. Dans ses observations sur expertise du 15 mars 2024, la demanderesse a dénié à l'expertise de l'OAI la reconnaissance d'une valeur probante. L'expert psychiatre n'avait pas discuté les diagnostics du Dr N______ et les experts ne s'étaient pas prononcés, dans l'évaluation consensuelle, sur la présence d'un syndrome</w:t>
      </w:r>
    </w:p>
    <w:p>
      <w:r>
        <w:t>A/2413/2021 - 9/15 - douloureux somatoforme persistant. La demanderesse a sollicité son audition et a réservé la requête d'une nouvelle expertise bi-disciplinaire. 52. Par écritures du 18 mars 2024, la défenderesse s'est opposée à l'audition de la demanderesse et à une nouvelle expertise judiciaire, tout en relevant que les experts du centre d'expertises avaient discuté la présence d'un syndrome douloureux somatoforme persistant. EN DROIT</w:t>
      </w:r>
    </w:p>
    <w:p>
      <w:r>
        <w:t>1. a.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b. Aux termes de l’art. 46a LCA, les assureurs doivent s'acquitter de leurs obligations découlant des contrats d'assurance au domicile suisse de l'assuré ou du preneur d'assurance. Le for se définit selon la loi du 24 mars 2000 sur les fors. Bien que cette disposition n’ait pas été modifiée, c’est désormais le CPC qui s’applique (cf. note de bas de page de la loi). L’art. 17 CPC prévoit que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L'art. G17 des conditions contractuelles de l'édition 2010, laquelle est applicable en l'espèce selon le contrat conclu, prévoit un for alternatif au lieu du domicile de l'assuré ou de l'assureur ou au lieu de travail de l'assuré. c. Cela étant, la compétence ratione materiae et ratione loci doit être admise, la demanderesse étant domiciliée dans le canton de Genève. 2. La demande satisfait par ailleurs aux conditions de forme de l'art. 244 CPC. Partant, elle est recevable. 3. L'objet du litige porte sur la capacité de travail de la demanderesse entre le 1er octobre 2019 et le 29 septembre 2021, ainsi que sur son droit aux indemnités journalières pendant cette période. 4. Conformément à l’art. 243 al. 2 let. f CPC, la procédure simplifiée s'applique aux litiges portant sur des assurances complémentaires à l’assurance-maladie sociale au sens de la LAMal.</w:t>
      </w:r>
    </w:p>
    <w:p>
      <w:r>
        <w:t>A/2413/2021 - 10/15 - Il en résulte que le tribunal établit les faits d'office (art. 247 al. 2 let. a CPC). Il s'agit donc d'un cas où une disposition spéciale instaure la maxime inquisitoire, en lieu et place de la maxime des débats (ATF 138 III 625 consid.2.1). 5. a. La preuve d’un sinistre étant par nature difficile à apporter, l'exigence de preuve est réduite et il suffit que l'ayant droit établisse une vraisemblance prépondérante (ATF 128 III 271 consid. 2b/aa). Il y a vraisemblance prépondérante lorsqu'il est possible que les faits pertinents se soient déroulés différemment, mais que les autres possibilités ou hypothèses envisageables n'entrent pas raisonnablement en considération (arrêt du Tribunal fédéral 4A_193/2008 du 8 juillet 2008 consid. 2.1.2). Le juge doit procéder à une appréciation d'ensemble des éléments qui lui sont apportés et dire s'il retient qu'une vraisemblance prépondérante a été établie (arrêt du Tribunal fédéral 4A_61/2011 du 26 avril 2011 consid. 2.1.1). b. Selon l’art. 157 CPC, le tribunal établit sa conviction par une libre appréciation des preuves administrées. Il apprécie librement la force probante de celles-ci en fonction des circonstances concrètes, sans être lié par des règles légales et sans être obligé de suivre un schéma précis (arrêt du Tribunal fédéral 5A_113/2015 du 3 juillet 2015 consid. 3.2) et doit examiner de manière objective tous les moyens de preuve, quelle qu'en soit la provenance, puis décider si les documents à disposition permettent de statuer sur le droit litigieux (arrêt du Tribunal fédéral 4A_253/2007 du 13 novembre 2007 consid. 4.2).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6. Il convient en premier lieu d'examiner l'incidence de la cession de créance de la demanderesse à l'encontre de la défenderesse en faveur de l'Hospice général. a. L'art. 73 al. 1 LCA, dans sa teneur valable jusqu'au 31 décembre 2021, dispose que le droit qui découle d'un contrat d'assurance de personnes ne peut être constitué en gage ou cédé ni par endossement ni par simple tradition de la police. Pour que la constitution du gage et la cession soient valables, il faut la forme écrite et la tradition de la police, ainsi qu'un avis écrit à l'assureur. Le Tribunal cantonal des assurances du canton de Zurich a retenu que la cession de créances découlant d'une assurance d'indemnités journalières relevant d'une assurance de dommages - et non de sommes - était également régie par l'art. 73 LCA, et non l'art. 165 du Code des obligations (CO - RS 220) (arrêt KK.2005.00008 du 12 juillet 2006 consid. 2.5). Une partie de la doctrine s'est</w:t>
      </w:r>
    </w:p>
    <w:p>
      <w:r>
        <w:t>A/2413/2021 - 11/15 - ralliée à cette analyse (Moritz KUHN in Basler Kommentar, Versicherungsvertragsgesetz, Nachführungsband, 2012, p. 236 ad art. 73 LCA). b. Eu égard à ce qui précède, force est de constater que la cession de créance intervenue ne satisfait pas aux exigences légales de forme, de sorte qu'elle n'est pas valable. En particulier, la demanderesse n'a pas transmis à l'Hospice général la police d'assurance. Partant, la demanderesse est légitimée à faire valoir la créance litigieuse en justice. 7. Au vu de ce qui suit, la chambre de céans laissera ouverte la question de la nullité du contrat d'assurance et la question de savoir si la demanderesse est en droit de réclamer les indemnités journalières durant une période pendant laquelle l'employeur lui a versé son salaire, comme la défenderesse l'allègue. 8. S'agissant des prestations dues par l'assurance-invalidité, le Tribunal fédéral a revu et modifié en profondeur, dans l’ATF 141 V 281,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Pour l'évaluation de la capacité de travail en cas de troubles psychiques, d'un syndrome douloureux somatoforme et d'affections psychosomatiques comparables, il y a lieu de se fonder sur une grille d’analyse comportant divers indicateurs qui rassemblent les éléments essentiels propres aux troubles de nature psychosomatique (ATF 141 V 281 consid. 4). Il s'agit des indicateurs suivants: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A/2413/2021 - 12/15 -</w:t>
      </w:r>
    </w:p>
    <w:p>
      <w:r>
        <w:t>Les indicateurs appartenant à la catégorie « degré de gravité fonctionnel » forment le socle de base pour l’évaluation des troubles psychiques (ATF 141 V 281 consid. 4.3 ; arrêt du Tribunal fédéral 9C_618/2019 du 16 mars 2020 consid. 8.2). Il sied d'appliquer ces principes par analogie également en matière d'assurance privée. 9. a. Dans son rapport du 12 octobre 2022, l'expert judicaire retient les diagnostics de trouble anxieux et dépressif mixte, ainsi que de trouble dépressif récurrent, actuellement en rémission. Il ne se prononce pas sur la présence d'un syndrome douloureux somatoforme persistant, en considérant qu'un examen complémentaire rhumatologique et une appréciation bidisciplinaire sont nécessaires, la présence de douleurs importantes sans substrat organique n'étant pas établie. Sur le plan strictement psychiatrique, les limitations fonctionnelles sont discrètes, surmontables et sans répercussion sur la capacité de travail dans une activité adaptée à l'état somatique de la demanderesse. L'expert relève toutefois que si les douleurs étaient dépourvues d'un substrat organique, pour une part significative, le diagnostic de syndrome douloureux somatoforme persistant devrait sans doute être posé, en raison de la présence de facteurs psycho-sociaux et émotionnels au niveau professionnel (surmenage et épuisement, conflits, sensation de mobbing, licenciement) et au niveau affectif (décès du père, conflit de couple, conflit avec le fils). Les conflits familiaux réveillent par ailleurs d'anciennes blessures liées à l'enfance et au milieu familial. Il y a une fragilité psychologique structurelle qui renforce l'impact « psychogène » des douleurs. b. Selon l'évaluation consensuelle de l'expertise pluridisciplinaire du 6 juillet 2023, la demanderesse présente les diagnostics de lombalgies mécaniques dégénératives avec discopathies, coxalgies droites, gonalgies gauches, hépatite B chronique, actuellement inactive, syndrome de l'intestin irritable et de kyste annexiel droit non compliqué. Il y a des limitations fonctionnelles, mais l'activité habituelle respecte celles-ci. La capacité de travail est ainsi de 90% dès avril 2019. Il n'y a pas d'aspects liés à la personnalité avec une incidence sur les ressources de la demanderesse. L'expert psychiatre ne retient aucun diagnostic au niveau psychiatrique et ne constate en particulier pas de syndrome douloureux somatoforme persistant, en l'absence d'état de détresse et des items sémiologiques requis. Il relève par ailleurs que le substrat somatique explique partiellement les douleurs. 10. a. L'expertise pluridisciplinaire remplit les critères pour lui reconnaître une pleine valeur probante. En effet, elle a été établie en pleine connaissance du dossier médical, y compris de l'expertise judiciaire du Dr N______, prend en considération les plaintes de la demanderesse, est fondée sur des examens cliniques approfondis et contient des conclusions motivées et convaincantes. b. La demanderesse met toutefois en cause la valeur probante de cette expertise au motif que ni l'expert psychiatre ni les autres experts ne se sont déterminés</w:t>
      </w:r>
    </w:p>
    <w:p>
      <w:r>
        <w:t>A/2413/2021 - 13/15 - expressément sur les diagnostics retenus par le Dr N______. Elle ne produit toutefois aucun document médical qui permettrait de mettre en doute cette expertise pluridisciplinaire. c. Il est vrai que l'expert psychiatre du centre d'expertise se contente de constater l'état clinique de la demanderesse dans un examen systématique. Lors de cet examen, l'expertisée ne présente aucun trouble psychique. Cela n'est toutefois pas en contradiction avec l'expertise du Dr N______. En effet, si l'expert judiciaire mentionne certes les diagnostics de trouble anxieux et dépressif mixte, ainsi que de trouble dépressif récurrent, il constate parallèlement que ces atteintes sont en rémission lors de son examen. Cela signifie que la demanderesse ne présentait pas non plus les symptômes liés à ces diagnostics lorsqu'elle a été examinée par ce dernier expert. Par ailleurs, le Dr N______ n'a pas retenu le diagnostic de trouble douloureux somatoforme persistant. Il appert en outre que l'état de la demanderesse s'est amélioré au moment de l'expertise pluridisciplinaire, dès lors qu'elle ne se plaint plus d'une fatigue chronique. Au vu de l'expertise pluridisciplinaire, il s'avère que les critères jurisprudentiels ne sont pas remplis pour admettre un trouble somatoforme douloureux chronique, dans la mesure où les ressources de la demanderesse sont intactes, selon les experts. Elle est en effet soutenue par sa famille, ainsi que des amis, et ne présente pas non plus de trouble de la personnalité ni même les traits d'un tel trouble. Au niveau psychiatrique, il n'y a pas de comorbidités. Cela étant, même s'il n'y a pas de signes permettant de douter de la réalité des douleurs dont l'importance ne s'explique que partiellement par les atteintes somatiques, l'examen des critères jurisprudentiels ne permet pas de retenir un trouble somatoforme douloureux chronique. L'expertise mise en œuvre par l'OAI est ainsi convaincante. Selon cette expertise, la demanderesse présente une incapacité de travail de 10%, de sorte qu'aucune incapacité de travail ne peut être admise dans son emploi à 70% durant la période litigieuse. 11. Au vu de ce qui précède, la requête d'expertise bi-disciplinaire judiciaire est rejetée. Il en va de même pour la demande d'audition de la demanderesse. En effet, ses allégations, non étayées par des documents médicaux, ne sont pas propres à mettre en doute les conclusions de l'expertise pluridisciplinaire. 12. Par conséquent, la demande sera rejetée. 13. L'art. 95 al. 3 let. b CPC prévoit que les dépens comprennent le défraiement d'un représentant professionnel. Le droit à une indemnité pour frais d'avocat découle ainsi aujourd'hui du droit fédéral (arrêt du Tribunal fédéral 4C_1/2011 du 3 mai 2011 consid. 6.2). Les cantons sont compétents pour fixer le tarif des frais</w:t>
      </w:r>
    </w:p>
    <w:p>
      <w:r>
        <w:t>A/2413/2021 - 14/15 - comprenant les dépens (cf. art. 96 CPC). À Genève, le règlement fixant le tarif des frais en matière civile du 22 décembre 2010 (RTFMC - E 1 05.10) détermine notamment le tarif des dépens, applicable aux affaires civiles contentieuses (art. 1 RTFMC). Le droit cantonal prévoit toutefois qu’il n’est pas alloué de dépens à la charge de l’assuré dans les causes portant sur les assurances complémentaires à l’assurance-maladie obligatoire, comme cela ressort de l’art. 22 al. 3 let. b de la loi d’application du code civil suisse et d'autres lois fédérales en matière civile (LaCC – E 1 05). Il résulte de ce qui précède que la défenderesse ne peut prétendre à des dépens, même si elle obtient gain de cause. 14. Pour le surplus, la procédure est gratuite (art. 114 let. e CPC).</w:t>
      </w:r>
    </w:p>
    <w:p>
      <w:r>
        <w:t>A/2413/2021 - 15/15 -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