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ATAS/439/2021 vom 10. Mai 2021</w:t>
      </w:r>
    </w:p>
    <w:p>
      <w:r>
        <w:t>GE Cour de justice, 2021-05-10, FR</w:t>
      </w:r>
    </w:p>
    <w:p>
      <w:r>
        <w:rPr>
          <w:b/>
        </w:rPr>
        <w:t xml:space="preserve">Quelle: </w:t>
      </w:r>
      <w:r>
        <w:t>https://mcp.opencaselaw.ch/entscheid/ge_gerichte_ATAS_439_2021</w:t>
      </w:r>
    </w:p>
    <w:p>
      <w:r>
        <w:t>FR: GE_GERICHTE ATAS/439/2021 du 10 mai 2021</w:t>
      </w:r>
    </w:p>
    <w:p>
      <w:r>
        <w:t>IT: GE_GERICHTE ATAS/439/2021 del 10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15 juillet au 15 août inclusivement, le recours est recevable (art. 38 al.</w:t>
      </w:r>
    </w:p>
    <w:p>
      <w:r>
        <w:rPr>
          <w:b/>
        </w:rPr>
        <w:t>E. 4</w:t>
      </w:r>
    </w:p>
    <w:p>
      <w:r>
        <w:t>Le litige porte sur le droit de l’assuré à des prestations de l’assurance-invalidité.</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Veuillez notamment indiquer si vous retenez ou écartez le diagnostic d’algoneurodystrophie (syndrome douloureux régional complexe) évoqué par les médecins traitants, en veillant à motiver votre réponse.</w:t>
      </w:r>
    </w:p>
    <w:p>
      <w:r>
        <w:rPr>
          <w:b/>
        </w:rPr>
        <w:t>E. 4.4</w:t>
      </w:r>
    </w:p>
    <w:p>
      <w:r>
        <w:t>L'état de santé s'est-il détérioré / amélioré, en particulier depuis le mois de juillet 2018 (rapport du Dr O______), et dans quelle mesure ? Veuillez-vous déterminer sur la problématique, soulevée par les experts du CEMEDEX, de l’enraidissement / ankylose de la hanche et du genou droits. L’aggravation évoquée par les experts du CEMEDEX vous paraît-elle vraisemblable ? 5. Limitations fonctionnelles</w:t>
      </w:r>
    </w:p>
    <w:p>
      <w:r>
        <w:t>- 27/28-</w:t>
      </w:r>
    </w:p>
    <w:p>
      <w:r>
        <w:t>A/2366/2020</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5.1</w:t>
      </w:r>
    </w:p>
    <w:p>
      <w:r>
        <w:t>Indiquer quelles sont les limitations fonctionnelles.</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 ses activités et de sa vie quotidienne ? 7. Capacité de travail</w:t>
      </w:r>
    </w:p>
    <w:p>
      <w:r>
        <w:rPr>
          <w:b/>
        </w:rPr>
        <w:t>E. 7</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(DR K______/DR X______/Y______/Z______/DR AA______/AB______/DR AC______/DR AD______/DR AE______, Syndrome douloureux régional</w:t>
      </w:r>
    </w:p>
    <w:p>
      <w:r>
        <w:t>- 20/28-</w:t>
      </w:r>
    </w:p>
    <w:p>
      <w:r>
        <w:t>A/2366/2020 complexe, in Revue médicale suisse 2019, p. 495). L'IASP a aussi réalisé un consensus diagnostique aussi complet que possible avec la validation, en 2010, des critères dits de Budapest, à savoir : 1) Douleur qui persiste et apparaît disproportionnée avec l'événement initial. 2) Au moins un symptôme dans trois (critères cliniques) ou quatre (critères recherche) des quatre catégories suivantes :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w:t>
      </w:r>
    </w:p>
    <w:p>
      <w:r>
        <w:t>- 21/28-</w:t>
      </w:r>
    </w:p>
    <w:p>
      <w:r>
        <w:t>A/2366/2020 Si les critères sont partiellement remplis, il faut poursuivre le diagnostic différentiel et réévaluer le patient. Si les critères ne sont pas remplis, le patient a une probabilité quasi nulle d'avoir un SDRC (DR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 ; arrêt du Tribunal fédéral 8C_416/2019 du 15 juillet 2020 consid. 5.1).</w:t>
      </w:r>
    </w:p>
    <w:p>
      <w:r>
        <w:rPr>
          <w:b/>
        </w:rPr>
        <w:t>E. 7.1</w:t>
      </w:r>
    </w:p>
    <w:p>
      <w:r>
        <w:t>La personne expertisée est-elle capable d’exercer son ancienne activité de chauffeur-livreur ?</w:t>
      </w:r>
    </w:p>
    <w:p>
      <w:r>
        <w:rPr>
          <w:b/>
        </w:rPr>
        <w:t>E. 7.1.1</w:t>
      </w:r>
    </w:p>
    <w:p>
      <w:r>
        <w:t>Si non, ou seulement partiellement, pourquoi ? Quelles sont les limitations fonctionnelles qui entrent en ligne de compte ?</w:t>
      </w:r>
    </w:p>
    <w:p>
      <w:r>
        <w:rPr>
          <w:b/>
        </w:rPr>
        <w:t>E. 7.1.2</w:t>
      </w:r>
    </w:p>
    <w:p>
      <w:r>
        <w:t>Depuis quelle date la capacité de travail est-elle réduite/nulle ?</w:t>
      </w:r>
    </w:p>
    <w:p>
      <w:r>
        <w:rPr>
          <w:b/>
        </w:rPr>
        <w:t>E. 7.2</w:t>
      </w:r>
    </w:p>
    <w:p>
      <w:r>
        <w:t>La personne expertisée est-elle capable d’exercer une activité lucrative adaptée à ses limitations fonctionnelles ?</w:t>
      </w:r>
    </w:p>
    <w:p>
      <w:r>
        <w:rPr>
          <w:b/>
        </w:rPr>
        <w:t>E. 7.2.1</w:t>
      </w:r>
    </w:p>
    <w:p>
      <w:r>
        <w:t>Si non, ou seulement partiellement, pourquoi ? Quelles sont les limitations fonctionnelles qui entrent en ligne de compte ?</w:t>
      </w:r>
    </w:p>
    <w:p>
      <w:r>
        <w:rPr>
          <w:b/>
        </w:rPr>
        <w:t>E. 7.2.2</w:t>
      </w:r>
    </w:p>
    <w:p>
      <w:r>
        <w:t>Si oui, à quel taux (en pourcent) et depuis quelle date une activité adaptée aux limitations fonctionnelles est-elle exigible ? Y-a-t-il une diminution de rendement (si oui, veuillez la chiffrer et préciser si vous en avez déjà tenu compte pour fixer le taux de la capacité de travail) ? Quel domaine d’activité serait adapté ?</w:t>
      </w:r>
    </w:p>
    <w:p>
      <w:r>
        <w:rPr>
          <w:b/>
        </w:rPr>
        <w:t>E. 7.2.3</w:t>
      </w:r>
    </w:p>
    <w:p>
      <w:r>
        <w:t>Veuillez préciser si le taux d’exigibilité (en pourcent) d’une activité adaptée s’est modifié depuis le dépôt de la demande de prestations AI, en 2017 ? Si oui, depuis quand et dans quelle mesure ?</w:t>
      </w:r>
    </w:p>
    <w:p>
      <w:r>
        <w:rPr>
          <w:b/>
        </w:rPr>
        <w:t>E. 7.3</w:t>
      </w:r>
    </w:p>
    <w:p>
      <w:r>
        <w:t>Des mesures médicales sont-elles nécessaires préalablement à la reprise d’une activité lucrative ? Si oui lesquelles ? 8. Traitement</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w:t>
      </w:r>
    </w:p>
    <w:p>
      <w:r>
        <w:t>- 22/28-</w:t>
      </w:r>
    </w:p>
    <w:p>
      <w:r>
        <w:t>A/2366/2020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8.1</w:t>
      </w:r>
    </w:p>
    <w:p>
      <w:r>
        <w:t>Examen du traitement suivi par la personne expertisée et analyse de son adéquation.</w:t>
      </w:r>
    </w:p>
    <w:p>
      <w:r>
        <w:rPr>
          <w:b/>
        </w:rPr>
        <w:t>E. 8.2</w:t>
      </w:r>
    </w:p>
    <w:p>
      <w:r>
        <w:t>Propositions thérapeutiques éventuelles et analyse de leurs effets sur la capacité de travail de la personne expertisée.</w:t>
      </w:r>
    </w:p>
    <w:p>
      <w:r>
        <w:t>- 28/28-</w:t>
      </w:r>
    </w:p>
    <w:p>
      <w:r>
        <w:t>A/2366/2020 9. Appréciation de rapports versés au dossier</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- 23/28-</w:t>
      </w:r>
    </w:p>
    <w:p>
      <w:r>
        <w:t>A/2366/2020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w:t>
      </w:r>
    </w:p>
    <w:p>
      <w:r>
        <w:rPr>
          <w:b/>
        </w:rPr>
        <w:t>E. 9.1</w:t>
      </w:r>
    </w:p>
    <w:p>
      <w:r>
        <w:t>Êtes-vous d’accord avec le rapport d’expertise du CEMEDEX ? En particulier avec les diagnostics posés et l’estimation d’une capacité de travail dans une activité adaptée de 100% (avec diminution de rendement de 20%) dès le 6 juillet 2017, puis de 0% dès le 1er mars 2019 ? Si non pourquoi ?</w:t>
      </w:r>
    </w:p>
    <w:p>
      <w:r>
        <w:rPr>
          <w:b/>
        </w:rPr>
        <w:t>E. 9.2</w:t>
      </w:r>
    </w:p>
    <w:p>
      <w:r>
        <w:t>Êtes-vous d’accord avec les conclusions figurant dans le rapport d’évaluation de PRO du 27 février 2019, en particulier avec le point de vue selon lequel aucune activité dans l’économie libre ou mesure d’orientation professionnelle ne serait envisageable à ce stade ? Si non, pourquoi ?</w:t>
      </w:r>
    </w:p>
    <w:p>
      <w:r>
        <w:rPr>
          <w:b/>
        </w:rPr>
        <w:t>E. 9.3</w:t>
      </w:r>
    </w:p>
    <w:p>
      <w:r>
        <w:t>Êtes-vous d’accord avec les avis des médecins de la CRR et du SMR ? En particulier avec les diagnostics posés et l’estimation d’une capacité de travail de 100%, dès juillet 2017, dans une activité adaptée aux limitations fonctionnelles ? Si non, pourquoi ?</w:t>
      </w:r>
    </w:p>
    <w:p>
      <w:r>
        <w:rPr>
          <w:b/>
        </w:rPr>
        <w:t>E. 9.4</w:t>
      </w:r>
    </w:p>
    <w:p>
      <w:r>
        <w:t>Êtes-vous d’accord avec les avis des médecins traitants (Drs I______, O______ et C______) ? En particulier avec les diagnostics posés et l’estimation, par le Dr I______, d’une capacité de travail de 100% dès le 6 juillet 2017 dans une activité adaptée aux limitations fonctionnelles ? Êtes-vous d’accord avec l’opinion du Dr O______ selon laquelle « en cas d’algoneurodystrophie », un retour au travail serait utopique pendant encore plusieurs mois, voire années ? Si non, pourquoi ? 10. Quel est le pronostic ? 11. Des mesures de réadaptation professionnelle sont-elles envisageables ?</w:t>
      </w:r>
    </w:p>
    <w:p>
      <w:r>
        <w:rPr>
          <w:b/>
        </w:rPr>
        <w:t>E. 10</w:t>
      </w:r>
    </w:p>
    <w:p>
      <w:r>
        <w:t>En l’espèce, dans sa décision du 15 juin 2020, l’intimé a refusé d’accorder à l’assuré toute prestation d’invalidité, au motif notamment qu’il présentait une capacité de travail entière, dès le mois de juillet 2017, dans toute activité adaptée à son état de santé. Le SMR, auquel l’intimé s’est rallié, s’est écarté des conclusions de l’expertise qu’il avait diligentée auprès du CEMEDEX. Il a considéré que les conclusions de cette expertise n’étaient pas convaincantes et en a déduit que la situation était restée globalement inchangée depuis l’accident, de sorte que l’assuré restait capable, depuis juillet 2017, d’exercer une activité adaptée à son handicap. Le SMR a souligné l’absence, dans l’expertise, d’élément démontrant objectivement une aggravation de l’état de santé, ainsi que des divergences entre les conclusions communes retenues par les experts (consilium) et celles formulées par le Dr Q______ dans le volet orthopédique de l’expertise, mais également entre les conclusions émises par l’expert Q______ et celles formulées par le Dr I______. Le recourant, qui conclut sur le fond à l’octroi d’une rente entière d’invalidité dès le mois de juillet 2017, conteste également les conclusions du CEMEDEX, en reprochant aux experts de ne lui avoir pas reconnu d’incapacité de travail antérieurement au stage qu’il a effectué auprès de PRO. Il soutient n’avoir jamais recouvré sa capacité de travail depuis son accident et relève que ses handicaps sont antérieurs au début du stage. Au stade de la réplique, il fait valoir que la piste de l’algoneurodystrophie n’a pas été examinée par les différents médecins et experts consultés, qu’elle pourrait potentiellement expliquer ses troubles et mériterait donc d’être explorée. À titre préalable, il requiert la mise en œuvre d’une expertise judiciaire.</w:t>
      </w:r>
    </w:p>
    <w:p>
      <w:r>
        <w:t>- 24/28-</w:t>
      </w:r>
    </w:p>
    <w:p>
      <w:r>
        <w:t>A/2366/2020</w:t>
      </w:r>
    </w:p>
    <w:p>
      <w:r>
        <w:rPr>
          <w:b/>
        </w:rPr>
        <w:t>E. 11</w:t>
      </w:r>
    </w:p>
    <w:p>
      <w:r>
        <w:t>a. La chambre de céans constate que, sur le plan formel, l’expertise du CEMEDEX satisfait prima facie à la plupart des réquisits jurisprudentiels topiques en matière de valeur probante, puisqu’elle contient un résumé du dossier, les indications subjectives du recourant, les constatations cliniques effectuées par chacun des experts, ainsi qu'une discussion générale et interdisciplinaire du cas. En particulier, il ressort de cette expertise que l’état de santé du recourant semble s’être aggravé, dans la mesure où la malposition de la hanche et du genou droits a conduit, selon les experts, à une probable ankylose de ces articulations, laquelle n’était pas encore présente lorsque l’assuré a été examiné par le Dr O______, en juillet 2018. Compte tenu des explications fournies par les experts, on ne saurait écarter d’emblée toute aggravation de l’état de santé, contrairement à ce que soutient l’intimé. À ce stade, il n’y a toutefois pas lieu de se pencher plus avant sur la question, dans la mesure où la mise en œuvre d’une expertise judiciaire se révèle nécessaire, comme on va le voir, et que l’expert judiciaire sera invité à se déterminer sur l’aggravation évoquée dans l’expertise du CEMEDEX. b. Sur le plan diagnostique, on regrette – à l’instar du recourant – que l’expert en orthopédie ne se soit pas déterminé sur l’existence d’une algoneurodystrophie (ou syndrome douloureux régional complexe), dans la mesure où ce diagnostic avait été évoqué par certains médecins (cf. rapports des Drs E______, I______ et O______ des 28 novembre 2016, 6 juillet 2017 et 24 juillet 2018) et que l’expert avait été invité à se prononcer sur ce point par le psychiatre du CEMEDEX. En effet, dans son rapport, l’expert-psychiatre avait notamment indiqué : « […] nous devons tenir compte que, si une présence d’algoneurodystrophie il y a, cette maladie peut s’avérer extrêmement douloureuse, ce fait devra être confirmé dans la partie orthopédique et rhumatologique [de l’expertise] […] » (p. 29 de l’expertise du CEMEDEX). Ensuite, force est d’admettre que les conclusions de l’expertise – contestées par les deux parties – sont peu claires, voire contradictoires. En effet, dans leurs conclusions communes, les experts ont évalué la capacité de travail dans une activité adaptée aux limitations fonctionnelles à 0% depuis le 1er mars 2019, date du terme de la mesure d’orientation professionnelle auprès de PRO (qui s’est soldée par un échec), tout en préconisant une réévaluation de la capacité de travail 6 mois après un traitement de la douleur et une rééducation. Pour la période antérieure au 1er mars 2019, les experts ont indiqué que la capacité de travail « pourrait » être de 100% avec une diminution de rendement de 20% dès le 6 juillet 2017, date du rapport du Dr I______. Ces conclusions communes – qui font coïncider avec l’échec du stage auprès de PRO le début de la totale incapacité de travail dans une activité adaptée – peuvent effectivement sembler contradictoires avec celles formulées par l’expert en chirurgie orthopédique, qui a conclu à une capacité de travail de 40% dans une activité adaptée depuis juillet 2017, tout en considérant</w:t>
      </w:r>
    </w:p>
    <w:p>
      <w:r>
        <w:t>- 25/28-</w:t>
      </w:r>
    </w:p>
    <w:p>
      <w:r>
        <w:t>A/2366/2020 qu’il ne pouvait pas tenir compte de l’échec du stage parce qu’aucune atteinte structurelle n’avait été mise en évidence. Le rapport d’expertise ne donne aucune explication au sujet de cette divergence entre les conclusions de l’expert en orthopédie et les conclusions communes. Les raisons pour lesquelles l’expert en orthopédie s’est lui-même distancié des conclusions formulées par le Dr I______ et par le SMR (capacité de travail de 100% dès juillet 2017 dans une activité adaptée) – mais tout en se référant par ailleurs à leurs rapports pour fixer le début de l’exigibilité d’une activité adaptée – ne sont pas claires non plus, faute d’explication de l’expert. Enfin, on relèvera que si les experts du CEMEDEX ont retenu, dans leurs conclusions communes, une totale incapacité de travail dès le 1er mars 2019, ils ne semblent toutefois pas avoir écarté toute perspective de réinsertion professionnelle à l’avenir, puisqu’ils ont préconisé une réévaluation ultérieure de la capacité de travail – que l’intimé n’a finalement pas mise en œuvre – et ont jugé prioritaire de faire traiter les douleurs par des spécialistes afin de permettre une rééducation, puis, dans un second temps, une reprise d’activité professionnelle. c. En définitive, vu les incertitudes affectant l’expertise du CEMEDEX, notamment en ce qui concerne les diagnostics et la capacité de travail dans une activité adaptée, mais également la recommandation des experts de faire réévaluer la capacité de travail, recommandation qui n’a pas été suivie par l’intimé, il se justifie de mettre en œuvre une expertise judiciaire en rhumatologie, comme le requiert le recourant.</w:t>
      </w:r>
    </w:p>
    <w:p>
      <w:r>
        <w:rPr>
          <w:b/>
        </w:rPr>
        <w:t>E. 12</w:t>
      </w:r>
    </w:p>
    <w:p>
      <w:r>
        <w:t>Faire toutes autre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