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ATAS/439/2020 vom 5. Juni 2020</w:t>
      </w:r>
    </w:p>
    <w:p>
      <w:r>
        <w:t>GE Cour de justice, 2020-06-05, FR</w:t>
      </w:r>
    </w:p>
    <w:p>
      <w:r>
        <w:rPr>
          <w:b/>
        </w:rPr>
        <w:t xml:space="preserve">Quelle: </w:t>
      </w:r>
      <w:r>
        <w:t>https://mcp.opencaselaw.ch/entscheid/ge_gerichte_ATAS_439_2020</w:t>
      </w:r>
    </w:p>
    <w:p>
      <w:r>
        <w:t>FR: GE_GERICHTE ATAS/439/2020 du 5 juin 2020</w:t>
      </w:r>
    </w:p>
    <w:p>
      <w:r>
        <w:t>IT: GE_GERICHTE ATAS/439/2020 del 5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prescrits par la loi, le présent recours est recevable (art. 56 à 61 LPGA).</w:t>
      </w:r>
    </w:p>
    <w:p>
      <w:r>
        <w:rPr>
          <w:b/>
        </w:rPr>
        <w:t>E. 3</w:t>
      </w:r>
    </w:p>
    <w:p>
      <w:r>
        <w:t>L'objet du litige porte sur le droit du recourant à des mesures d’ordre professionnel et à une rente. Les conclusions, malgré leur libellé, seront interprétées comme tendant à l’octroi de prestations. Elles sont ainsi condamnatoires, et partant recevables (cf. ATF 129 V 289 consid. 2.1).</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A/3518/2019 - 21/30 -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 les mesures socioprofessionnelles (let. a)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w:t>
      </w:r>
    </w:p>
    <w:p>
      <w:r>
        <w:t>A/3518/2019 - 22/30 -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7</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w:t>
      </w:r>
    </w:p>
    <w:p>
      <w:r>
        <w:t>A/3518/2019 - 23/30 -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Dans un arrêt concernant les troubles somatoformes douloureux (ATF 141 V 281), le Tribunal fédéral est revenu sur les critères d’évaluation du caractère invalidant de tels troubles et a retenu que la capacité de travail réellement exigible doit désormais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w:t>
      </w:r>
    </w:p>
    <w:p>
      <w:r>
        <w:t>A/3518/2019 - 24/30 -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w:t>
      </w:r>
    </w:p>
    <w:p>
      <w:r>
        <w:t>A/3518/2019 - 25/30 -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9</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w:t>
      </w:r>
    </w:p>
    <w:p>
      <w:r>
        <w:t>A/3518/2019 - 26/30 -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10</w:t>
      </w:r>
    </w:p>
    <w:p>
      <w:r>
        <w:t>La jurisprudence a déduit du droit d'être entendu (art. 29 al. 2 de la Constitution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arrêt du Tribunal fédéral 9C_136/2017 du 21 août 2017 consid. 5.2).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Dans un récent arrêt de principe rendu en matière d’assurance-invalidité,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On soulignera du reste que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w:t>
      </w:r>
    </w:p>
    <w:p>
      <w:r>
        <w:t>A/3518/2019 - 27/30 -</w:t>
      </w:r>
    </w:p>
    <w:p>
      <w:r>
        <w:rPr>
          <w:b/>
        </w:rPr>
        <w:t>E. 11</w:t>
      </w:r>
    </w:p>
    <w:p>
      <w:r>
        <w:t>En l’espèce, il convient en premier lieu de se prononcer sur la valeur probante de l’expertise des Drs M______ et L______. On notera en préambule que le rapport de ces experts contient d’innombrables redites, mais qu’il n’est guère étoffé en ce qui concerne les problématiques médicales actuelles du recourant. S’agissant du volet orthopédique, l’expert a accordé, dans son appréciation, une grande importance aux circonstances et aux suites de la première intervention chirurgicale dorsale jusqu’en 2014, alors même que le droit aux prestations n’est pas ouvert pour cette période au vu de la date de dépôt de la demande. S’il est essentiel qu’un expert prenne connaissance de l’historique médical et qu’il peut s’agir là d’un élément important pour déterminer l’évolution de la capacité de gain d’un assuré, on ne peut que s’étonner dans le cas d’espèce de l’emphase mise sur cette période, alors que l’état de santé du recourant depuis 2014 est abordé de manière très succincte, l’expert ayant pour ainsi dire fait l’impasse sur les circonstances ayant conduit à la spondylodèse en décembre 2016, se contentant d’indiquer qu’elle était « beaucoup plus appropriée » que la première intervention en 2007, avant d’évoquer une situation stabilisée en 2017. Le Dr M______ a en outre conclu à une pleine capacité de travail, répétant à plusieurs reprises que les plaintes du recourant n’étaient pas objectivées par un substrat organique. Or, cette conclusion apparaît en contradiction avec le fait de reconnaître le caractère approprié de l’intervention neurochirurgicale pratiquée en décembre 2016, qui suppose une indication clinique, soit un élément organique. L’absence de corrélation clinique avancée par cet expert apparaît également en contradiction avec le fait qu’il semble s’étonner du fait que les plaintes douloureuses n’aient pas perduré après la première intervention, peu appropriée selon lui. Cela semble indiquer que ces douleurs avaient bien un substrat. Le Dr M______ a en outre exclu, sans autre précision ou motivation, toute incapacité de travail passée, sans se prononcer sur les répercussions – fussent-elles temporaires – de l’intervention de 2016, et n’a guère discuté les incapacités attestées par les médecins traitants du recourant. Son rapport est insuffisamment motivé sur ce point également. Enfin, on relèvera la contradiction entre l’observation consensuelle des experts, selon laquelle le recourant n’a pas manifesté de comportement algique durant l’entretien, et le fait que le Dr L______ relève que la mobilité du recourant était entravée par des mesures d'épargne algique. En ce qui concerne le volet psychique, le Dr L______ s’est borné à indiquer sous forme de liste les symptômes présents ou absents lors de son examen, sans guère détailler les constatations cliniques à l’appui de ces conclusions. Sur ce point, sa motivation est insuffisante. En ce qui concerne l’examen des différents critères, on doit relever, s’agissant des ressources, que ce médecin a à de très nombreuses reprises répété que le recourant voyait des amis à Cossonay et poursuivait une</w:t>
      </w:r>
    </w:p>
    <w:p>
      <w:r>
        <w:t>A/3518/2019 - 28/30 - activité bénévole. Or, on ne peut sérieusement inférer d’une visite tous les deux mois à un couple d’amis que le recourant conserve une vie sociale importante. Le descriptif de ses journées démontre au contraire un isolement important, au demeurant souligné également par l’expert orthopédiste. En outre, le souci que le recourant éprouve en raison du conflit avec son fils ne justifie pas qu’on exclue toute « perte d’intérêt ». La seule pratique d’une activité bénévole ne suffit pas non plus à conclure à des ressources intactes. En outre, l'expert psychiatre, qui a mentionné une surcharge médicamenteuse volontaire avec deux litres de vin et son traitement habituel en octobre 2018, n'a même pas commenté cette tentative de suicide de l’assuré, et il s'est contenté d'indiquer, sans motivation, que les idées suicidaires étaient « non scénarisées », alors que, dans son rapport du 9 janvier 2017, le psychiatre traitant avait fait état d'idées suicidaires quotidiennes avec projet par arme à feu. Les considérations de l’expert orthopédique quant au cercle vicieux d’exclusion sociale et l’absence de ressources du recourant pour se réadapter sont du reste en contradiction avec les conclusions de l’expert psychiatre, alors même que les experts mentionnent à plusieurs reprises avoir procédé à un consilium. Leurs diagnostics paraissent quelque peu contradictoires, à défaut d’explications complémentaires. En effet, le Dr M______ ne retient pas un substrat organique expliquant les plaintes du recourant, alors même que le Dr L______ exclut un syndrome douloureux somatoforme au motif qu’il n’y aurait pas de plainte douloureuse intense et persistante au premier plan. S’agissant de la capacité de travail retenue, l’expertise est également contradictoire puisque les experts affirment qu’elle est complète, sans diminution de rendement, tout en signalant une asthénie réduisant la performance. À ce sujet, il est du reste singulier que l’asthénie soit imputée non aux difficultés d’ordre psychique mais à un syndrome d’apnées du sommeil, dans la mesure où aucun des médecins traitants n’a rapporté un tel trouble. Ces éléments suscitent des doutes importants sur l’expertise, qui ne saurait se voir reconnaître valeur probante. Les rapports des médecins traitants, faute de contenir tous les éléments formels nécessaires pour se voir reconnaître valeur probante selon la jurisprudence, ne suffisent pas non plus à trancher la capacité de travail et de gain du recourant.</w:t>
      </w:r>
    </w:p>
    <w:p>
      <w:r>
        <w:rPr>
          <w:b/>
        </w:rPr>
        <w:t>E. 12</w:t>
      </w:r>
    </w:p>
    <w:p>
      <w:r>
        <w:t>Compte tenu des éléments qui précèdent, la chambre de céans ne dispose pas des éléments nécessaires pour trancher le litige. Lorsque le juge constate qu'une expertise est nécessaire, il doit en principe la mettre en œuvre lui-même. Un renvoi à l'administration reste cependant possible lorsqu'il est justifié par l'examen d'un point qui n'a pas du tout été investigué (ATF 137 V 210 consid. 4.4.1.3 et 4.4.1.4). En l’espèce, l’intimé a certes bien procédé à l’instruction des éléments pertinents. Il a cependant mis en œuvre l’expertise sans respecter les garanties minimales en lien</w:t>
      </w:r>
    </w:p>
    <w:p>
      <w:r>
        <w:t>A/3518/2019 - 29/30 - avec le droit d’être entendu du recourant, dès lors qu’il ne lui a pas donné l’occasion de se prononcer sur les experts à désigner – le droit d’être entendu dans ce cadre ne se limitant pas à la prise en compte de motifs de récusation uniquement – ou sur le contenu de leur mandat. Comme on l’a vu, cette seule violation du droit d’être entendu doit conduire à l’admission du recours. Dans ces circonstances, la cause sera renvoyée à l’intimé, à charge pour ce dernier de mettre en œuvre une nouvelle expertise, qui sera confiée à des médecins désignés d’entente avec le recourant. Ce dernier devra également être invité à se prononcer sur les questions soumises aux experts. S’agissant des domaines de spécialité des experts, la nécessité de mandater un psychiatre n’est pas discutable. Pour le volet somatique, il apparaît en revanche qu’un rhumatologue serait mieux à même de se prononcer de manière globale sur les troubles du rachis du recourant qu’un spécialiste en orthopédie, étant du reste précisé que ce n’est pas un chirurgien orthopédiste mais un neurochirurgien qui a opéré le recourant. C’est donc un spécialiste en rhumatologie qui devra apprécier les troubles somatiques du recourant. Dans ce contexte, il faut souligner que si le syndrome d’apnées du sommeil évoqué par le Dr L______ est avéré, il sera également nécessaire d’analyser ses répercussions sur la capacité de gain du recourant.</w:t>
      </w:r>
    </w:p>
    <w:p>
      <w:r>
        <w:rPr>
          <w:b/>
        </w:rPr>
        <w:t>E. 13</w:t>
      </w:r>
    </w:p>
    <w:p>
      <w:r>
        <w:t>Le recours est partiellement admis. Le recourant a droit à des dépens, qui seront fixés à CHF 1'500.- (art. 61 let. g LPGA). La procédure en matière d’octroi de prestations d’invalidité n’étant pas gratuite (art. 69 al. 1bis LAI), l’intimé supporte l’émolument de CHF 500.-. * * * * * *</w:t>
      </w:r>
    </w:p>
    <w:p>
      <w:r>
        <w:t>A/3518/2019 - 30/30 -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