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ATAS/439/2018 vom 24. Mai 2018</w:t>
      </w:r>
    </w:p>
    <w:p>
      <w:r>
        <w:t>GE Cour de justice, 2018-05-24, FR</w:t>
      </w:r>
    </w:p>
    <w:p>
      <w:r>
        <w:rPr>
          <w:b/>
        </w:rPr>
        <w:t xml:space="preserve">Quelle: </w:t>
      </w:r>
      <w:r>
        <w:t>https://mcp.opencaselaw.ch/entscheid/ge_gerichte_ATAS_439_2018</w:t>
      </w:r>
    </w:p>
    <w:p>
      <w:r>
        <w:t>FR: GE_GERICHTE ATAS/439/2018 du 24 mai 2018</w:t>
      </w:r>
    </w:p>
    <w:p>
      <w:r>
        <w:t>IT: GE_GERICHTE ATAS/439/2018 del 24 maggio 2018</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(art. 331 à 331e du Code des obligations [CO - RS 220]; art. 52, 56a al. 1 et 73 de la loi fédérale sur la prévoyance professionnelle, vieillesse, survivants et invalidité du 25 juin 1982 [LPP - RS 831.40]; art. 142 du Code civil [CC - RS 210]).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renvoyer l'affaire aux organes de l'assurance pour complément d'instruction et nouveau prononcé (ATF 117 V 237 consid. 2 ; 115 V 224 et 239 ; 114 V 102 consid. 1b ; 113 V 198 consid. 2 ; 112 Ia 180 consid. 2).</w:t>
      </w:r>
    </w:p>
    <w:p>
      <w:r>
        <w:t>A/4616/2017 - 4/5 - C’est par conséquent à tort que l’intimée soutient que la société aurait dû saisir la Cour de céans dans un délai de trente jours à compter de la notification de son décompte. Dans ces conditions, force est de constater que la saisine de la Cour de céans par la société est intervenue en temps utile, s’agissant des cotisations LPP, de sorte que son action doit être considérée comme recevable.</w:t>
      </w:r>
    </w:p>
    <w:p>
      <w:r>
        <w:t>A/4616/2017 - 5/5 -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