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ATAS/438/2020 vom 5. Juni 2020</w:t>
      </w:r>
    </w:p>
    <w:p>
      <w:r>
        <w:t>GE Cour de justice, 2020-06-05, FR</w:t>
      </w:r>
    </w:p>
    <w:p>
      <w:r>
        <w:rPr>
          <w:b/>
        </w:rPr>
        <w:t xml:space="preserve">Quelle: </w:t>
      </w:r>
      <w:r>
        <w:t>https://mcp.opencaselaw.ch/entscheid/ge_gerichte_ATAS_438_2020</w:t>
      </w:r>
    </w:p>
    <w:p>
      <w:r>
        <w:t>FR: GE_GERICHTE ATAS/438/2020 du 5 juin 2020</w:t>
      </w:r>
    </w:p>
    <w:p>
      <w:r>
        <w:t>IT: GE_GERICHTE ATAS/438/2020 del 5 giugno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Déposé dans les forme et délai prévus par la loi, le recours est recevable (art. 56ss LPGA). Les conclusions du recourant tendant à la constatation de certains points ne sont en revanche pas recevables, dès lors que de telles conclusions ne sont admissibles que s’il existe un intérêt juridique ou de fait digne de protection à ce qu'elles soient</w:t>
      </w:r>
    </w:p>
    <w:p>
      <w:r>
        <w:t>A/2925/2019 - 11/21 - accordées, qui ne peut être pleinement sauvegardé par une conclusion formatrice (arrêt du Tribunal fédéral 9C_105/2016 du 5 avril 2016 consid. 1.1). En l’espèce, ces conclusions n’ont quoi qu’il en soit qu’un caractère préparatoire par rapport aux conclusions condamnatoires prises par le recourant.</w:t>
      </w:r>
    </w:p>
    <w:p>
      <w:r>
        <w:rPr>
          <w:b/>
        </w:rPr>
        <w:t>E. 3</w:t>
      </w:r>
    </w:p>
    <w:p>
      <w:r>
        <w:t>Le litige, tel que circonscrit par la décision sur opposition et les conclusions du recours, porte sur le droit à la rente du recourant, plus particulièrement le taux d’abattement appliqué sur le revenu d’invalide.</w:t>
      </w:r>
    </w:p>
    <w:p>
      <w:r>
        <w:rPr>
          <w:b/>
        </w:rPr>
        <w:t>E. 4</w:t>
      </w:r>
    </w:p>
    <w:p>
      <w:r>
        <w:t>L’assurance-accidents est en règle générale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avec l'événement assuré (ATF 119 V 335 consid. 1).</w:t>
      </w:r>
    </w:p>
    <w:p>
      <w:r>
        <w:rPr>
          <w:b/>
        </w:rPr>
        <w:t>E. 5</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w:t>
      </w:r>
    </w:p>
    <w:p>
      <w:r>
        <w:t>A/2925/2019 - 12/21 - d'une mesure thérapeutique ne confèrent à un assuré le droit de recevoir de tels soins (arrêt du Tribunal fédéral des assurances U 244/04 du 20 mai 2005 consid. 2).</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w:t>
      </w:r>
    </w:p>
    <w:p>
      <w:r>
        <w:t>A/2925/2019 - 13/21 -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w:t>
      </w:r>
    </w:p>
    <w:p>
      <w:r>
        <w:t>A/2925/2019 - 14/21 -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ESS (ATF 126 V 75 consid. 3b). Le Tribunal fédéral a à plusieurs reprises admis que le revenu d’invalide soit fixé en référence au revenu tiré d’activités simples et répétitives (niveau 4 jusqu’à l’ESS 2010 et niveau 1 dès l’ESS 2012), même dans le cas d’activités monomanuelles légères (arrêts du Tribunal fédéral 9C_633/2016 du 28 décembre 2016 consid. 4.3 et 8C_670/2015 du 12 février 2016 consid. 4.3). En effet,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Selon la jurisprudence, l’exercice d’une activité non qualifiée exclusivement monomanuelle n’est pas considéré comme irréaliste sur un marché équilibré du travail (cf. arrêts du Tribunal fédéral 9C_633/2016 du 28 décembre 2016 consid. 4.3 et 8C_670/2015 du 12 février 2016 consid. 4.3).</w:t>
      </w:r>
    </w:p>
    <w:p>
      <w:r>
        <w:rPr>
          <w:b/>
        </w:rPr>
        <w:t>E. 8</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 L’abattement ne peut résulter de déductions distinctes pour des facteurs séparés à prendre en considération. Une telle fragmentation n'est pas compatible avec une évaluation globale des effets des empêchements sur le revenu d'invalide qui suppose un examen des facteurs considérés dans leur ensemble et non pas une addition schématique de pourcentages (arrêt du Tribunal fédéral 9C_751/2011 du 30 avril 2012 consid. 4.2.2). Il n’est pas justifié de quantifier séparément chacun des facteurs de réduction entrant en ligne de compte et de les additionner, car on perdrait ainsi de vue les effets réciproques (ATF 126 V 75 consid. 5b/bb).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w:t>
      </w:r>
    </w:p>
    <w:p>
      <w:r>
        <w:t>A/2925/2019 - 15/21 -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 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 Angemessenheits- kontrolle »).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l’OAI et voir si un abattement plus ou moins élevé serait mieux approprié et s'imposerait pour un motif pertinent, sans toutefois substituer sa propre appréciation à celle de l'administration (arrêt du Tribunal fédéral 9C_637/2014 du 6 mai 2015 consid. 4.2).</w:t>
      </w:r>
    </w:p>
    <w:p>
      <w:r>
        <w:rPr>
          <w:b/>
        </w:rPr>
        <w:t>E. 9</w:t>
      </w:r>
    </w:p>
    <w:p>
      <w:r>
        <w:t>On peut rappeler les principes suivants s’agissant des différents facteurs devant être pris en considération dans la fixation de l’abattement. Le manque de formation n’est pas déterminant dès lors qu’il s’agit d’un facteur étranger à l’invalidité (arrêt du Tribunal fédéral 9C_474/2010 du 11 avril 2011 consid. 3.2). Des connaissances linguistiques limitées sont également un facteur étranger à l’invalidité (arrêt du Tribunal fédéral 9C_344/2015 du 25 novembre 2015 consid. 2.3). En outre, les activités simples et répétitives</w:t>
      </w:r>
    </w:p>
    <w:p>
      <w:r>
        <w:t>A/2925/2019 - 16/21 - correspondant aux niveaux 4 jusqu’à l’ESS 2010 et au niveau 1 dès l’ESS 2012 ne supposent par définition pas de bonnes connaissances linguistiques (arrêt du Tribunal fédéral 9C_426/2014 du 18 août 2014 consid. 4.2). Le manque d'expérience d'un assuré dans une nouvelle profession ne constitue pas non plus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(arrêt du Tribunal fédéral 8C_131/2018 du 25 juillet 2018 consid. 5.2). S’agissant du critère des années de service, il a pour but de tenir compte du fait qu’une personne qui débute dans une entreprise ne réalise en général pas un salaire moyen (Ulrich MEYER / Marc REICHMUTH, Rechtsprechung des Bundesgerichts zum IVG, 3ème éd. 2014, n. 108 ad art. 28a). À titre d’exemple, le Tribunal fédéral a retenu que ce facteur justifiait une déduction de 5 % dans le cas d’une assurée âgée de 46 ans (arrêt du Tribunal fédéral 9C_160/2014 du 30 juin 2014 consid. 5.3). Toutefois, les années de service ne constituent pas le seul critère de fixation du salaire dans une nouvelle profession, l’expérience acquise lors des précédentes activités professionnelles a une influence tout aussi importante. En outre, l’incidence des années de service est moins élevée lorsque le profil d’exigences est bas. Ce paramètre n’est pas pertinent s’agissant des activités de niveau 1 (ou 4 avant 2012) de l’ESS (arrêt du Tribunal fédéral 9C_874/2014 du 2 septembre 2015 consid. 3.3.2 et les références). En ce qui concerne l’autorisation de travail, notre Haute Cour a rappelé qu’un assuré de nationalité française résidant en France a le droit d’exercer une activité économique en Suisse et ne peut être traité différemment des travailleurs suisses en raison de sa nationalité, notamment en matière de rémunération, conformément au droit international et en particulier à l’art. 9 par. 1 de l’annexe I à l’Accord entre la Confédération suisse, d’une part, et la Communauté européenne et ses États membres, d’autre part, sur la libre circulation des personnes (ALCP – RS 0.142.112.681). Ainsi, un assuré français résidant en France ne subit pas d’emblée un désavantage par rapport à un travailleur suisse du fait de sa nationalité et de sa qualité de frontalier. Dès lors, une déduction sur le salaire statistique n’est pas justifiée (arrêt du Tribunal fédéral 8C_610/2017 du 3 avril 2018 consid. 4.4). Le Tribunal fédéral n’a jusqu’ici pas tranché le point de savoir si, en matière d’assurance-accidents, l’âge constitue un critère d'abattement ou si son influence sur la capacité de gain doit être prise en compte uniquement dans le cadre de la réglementation particulière de l'art. 28 al. 4 de l’ordonnance sur l’assurance-accidents (OLAA – RS 832.202) (arrêt du Tribunal fédéral 8C_122/2019 du 10 septembre 2019 consid. 4.3.2). Il a cependant relevé, s’agissant d’un assuré âgé de 56 ans au moment de l’ouverture du droit à la rente, que les conditions pour une déduction liée à l’âge n’étaient en toute hypothèse pas remplies</w:t>
      </w:r>
    </w:p>
    <w:p>
      <w:r>
        <w:t>A/2925/2019 - 17/21 - (arrêt du Tribunal fédéral 8C_878/2018 du 21 août 2019 consid. 5.3.1 et les références).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Dans le cas d’un peintre en bâtiment s’étant cassé les deux poignets, ne pouvant reprendre une activité manuelle nécessitant l'usage en force et répétitif des deux poignets mais à même de travailler à plein temps dans toute activité légère, de service administratif, de vente au détail sans manipulation répétitive ou dans une activité de type transport de personnes avec un véhicule automatique, âgé de 54 ans, le Tribunal fédéral a confirmé l’abattement de 15 % appliqué par l’assurance-invalidité pour tenir compte à la fois de l’âge et des limitations fonctionnelles (arrêt du Tribunal fédéral 8C_175/2017 du 30 octobre 2017 consid. 6.2.2). Il a également confirmé la réduction de 15 % sur le revenu d’invalide par l’OAI dans le cas d’un assuré âgé de 59 ans, qui disposait d’une pleine capacité de travail dans une activité sans mouvement répétitif ou d’effort du membre supérieur droit (arrêt du Tribunal fédéral 9C_839/2017 du 24 avril 2018 consid. 6.3). S’agissant d’un assuré présentant des limitations fonctionnelles découlant d’une atteinte à l’épaule et à la cheville, l’abattement de 10 %, justifié uniquement par dites limitations, a également été confirmé (ATF 137 V 71 consid. 5.3).</w:t>
      </w:r>
    </w:p>
    <w:p>
      <w:r>
        <w:rPr>
          <w:b/>
        </w:rPr>
        <w:t>E. 10</w:t>
      </w:r>
    </w:p>
    <w:p>
      <w:r>
        <w:t>En l’espèce, en ce qui concerne l’activité exigible retenue par l’intimée, on relève en premier lieu que le recourant ne conteste pas la capacité de travail complète dans une activité adaptée que lui ont reconnue les médecins de la CRR. Il n’existe du reste aucun élément justifiant que l’on s’en écarte, les médecins traitants n’ayant pas émis de conclusions remettant en cause cette appréciation. S’agissant en revanche de la nature de cette activité, le recourant croit voir plusieurs discrépances entre les constatations des ateliers professionnels et les limitations retenues par les médecins de la CRR. À ce sujet, il convient de noter que les activités « Inventaire » et « Photopearls » réalisées lors de l’évaluation dans les ateliers professionnels sont légères et adaptées à l’atteinte du recourant. Les difficultés qu’il y a rencontrées ne peuvent dès lors pas s’expliquer par les atteintes résultant de l’accident, si bien qu’il n’y a pas lieu d’en tenir compte. Quant à l’activité « Caisse à boulons », sa description suscite certes quelques doutes sur sa compatibilité avec les limitations résultant de l’atteinte à l’épaule du recourant, puisqu’elle semble impliquer des mouvements répétitifs du membre supérieur droit. Cependant, dès lors que les médecins ont</w:t>
      </w:r>
    </w:p>
    <w:p>
      <w:r>
        <w:t>A/2925/2019 - 18/21 - notamment exclu les activités répétitives avec le membre supérieur droit en porte-à-faux, on ne peut leur reprocher de ne pas avoir tenu compte des problèmes que le recourant éprouve à mobiliser son épaule. Ils ont également limité le port de charges du sol à la taille et de la taille à la tête en fonction de l’atteinte objectivement constatée. Ainsi, les douleurs et la mobilité restreinte du recourant ont bien été prises en compte dans la mesure objectivement justifiée par l’atteinte, étant rappelé que dans ce cadre, c’est l’appréciation des médecins qui prévaut, et non la faculté subjective du recourant, qui découle selon la physiothérapeute de la CRR partiellement d’une auto-limitation. De plus, les douleurs rapportées après trente minutes de bricolage et durant le port de charges sont décrites non pas lors de l’examen des médecins, mais dans le cadre des plaintes du recourant, si bien qu’il ne s’agit pas d’observations cliniques objectivées. Quant à la capacité à travailler quatre heures dans les ateliers professionnels relatée dans le rapport de la CRR, elle correspond simplement à la durée d’observation, et non à une restriction temporelle de la capacité de travail du recourant. On soulignera par ailleurs que s’agissant des limitations fonctionnelles, les médecins traitants n’ont pas non plus pris de conclusions divergentes par rapport à celles de la CRR. En particulier, le Dr D______ ne s’est pas prononcé de manière détaillée à ce sujet. Cependant, dans la mesure où il admet une capacité de travail partielle dans l’activité antérieure du recourant, son appréciation des limitations fonctionnelles paraît moins restrictive que celle des Drs G______, H______ et F______, qui ont définitivement exclu la reprise de cette activité. On doit du reste relever que l’assuré a pu mener à bien les activités durant le stage accompli au sein de K______ sans difficultés particulières, et son travail et son engagement y ont d’ailleurs fait l’objet d’éloges. La réserve liée au port de charges lourdes n’est pas un élément nouveau, cette limitation étant admise par les Drs G______ et H______. Compte tenu de ces éléments, les critiques du recourant quant aux limitations fonctionnelles retenues par l’intimée ne résistent pas à l’examen, et c’est à juste titre que cette dernière a fondé le calcul du degré d’invalidité du recourant sur une pleine capacité de travail sans diminution de rendement dans une activité adaptée. Dès lors que le rapport des médecins de la CRR doit se voir reconnaître une pleine valeur probante, la chambre de céans ne donnera pas suite à la requête d’expertise du recourant, par appréciation anticipée des preuves (ATF 130 II 425 consid. 2.1).</w:t>
      </w:r>
    </w:p>
    <w:p>
      <w:r>
        <w:rPr>
          <w:b/>
        </w:rPr>
        <w:t>E. 11</w:t>
      </w:r>
    </w:p>
    <w:p>
      <w:r>
        <w:t>Il y a lieu à présent d’examiner le calcul du degré d’invalidité auquel a procédé l’intimée. En préambule, on notera que si la notion d'invalidité définie à l'art. 8 LPGA est en principe identique en matière d'assurance-accidents, d'assurance militaire et d'assurance-invalidité (ATF 126 V 288 consid. 2d ; arrêt du Tribunal fédéral des assurances I 853/05 du 28 décembre 2006 consid. 4.1.1), l’assurance-accidents n’est notamment pas liée par l’appréciation de l’assurance-invalidité lorsque</w:t>
      </w:r>
    </w:p>
    <w:p>
      <w:r>
        <w:t>A/2925/2019 - 19/21 - celle-ci n’a pas fait l’objet d’une décision entrée en force (cf. arrêts du Tribunal fédéral des assurances U 406/01 du 28 novembre 2002 consid. 1.2 et U 259/00 du</w:t>
      </w:r>
    </w:p>
    <w:p>
      <w:r>
        <w:rPr>
          <w:b/>
        </w:rPr>
        <w:t>E. 16</w:t>
      </w:r>
    </w:p>
    <w:p>
      <w:r>
        <w:t>mars 2001 consid. 5b). L’intimée n’avait ainsi pas à suivre le calcul de l’OAI, dont la décision est postérieure à la sienne. Le recourant critique le calcul du degré d’invalidité auquel a procédé l’intimée, et en particulier l’abattement appliqué au revenu d’invalide. Or, il n’existe dans le cas d’espèce pas d’autres facteurs de réduction que celui lié aux limitations fonctionnelles, au regard des arrêts cités ci-dessus. En effet, le recourant n’a pas atteint un âge avancé au sens de la jurisprudence rendue en matière d’assurance-accidents, de sorte que la question d’un abattement à ce titre peut rester ouverte. Le statut de frontalier ne doit pas non plus conduire à une déduction, conformément à la jurisprudence citée. Quant au critère linguistique, le recourant maîtrise le français. Il s’agit de plus d’un facteur étranger à l’invalidité. C’est également en vain que le recourant invoque sa situation familiale et ses obligations éducatives. En premier lieu, ce critère n’est pas pertinent en matière de réduction des salaires statistiques. En outre, la fille cadette du recourant est devenue majeure en août 2019, si bien qu’on voit mal en quoi cet élément, fût-il pertinent, pourrait influencer à la baisse le revenu du recourant. Cela étant, l’abattement de 5 % pour tenir compte des limitations fonctionnelles apparaît pour le moins sévère eu égard à la casuistique rappelée ci-dessus. Pour des motifs d’égalité de traitement entre assurés, une déduction de 10 % paraît appropriée. Cela étant, même une déduction d’une telle quotité ne suffit pas à ouvrir le droit à la rente, comme le révèle le calcul suivant. Le revenu sans invalidité retenu par l’intimée, soit CHF 66'921.95, correspond au montant communiqué par l’employeur en mars 2019, et il n’y a pas de motif de s’en écarter. Quant au revenu après invalidité, c’est à juste titre que l’intimée l’a fondé sur le salaire statistique tiré des activités simples et répétitives, tous secteurs confondus, soit la ligne Total du TA_1_skill_level de l’ESS 2016. En effet, comme cela ressort de la jurisprudence citée, cette valeur s’applique même lorsque seules des activités monomanuelles – soit bien plus restreintes que celles que le recourant est à même d’exercer – sont possibles. Il s’agit ainsi de CHF 5'340.- par mois, soit CHF 64'080.- par an. En ce qui concerne l’évolution des salaires et la durée normale de travail, les chiffres pour 2019 n’ont pas encore été publiés par l’Office fédéral de la statistique. Toutefois, même en s’en tenant à l’évolution nominale des salaires jusqu’en 2018 seulement – ce qui s’avère favorable au recourant – et en extrapolant ce revenu à la</w:t>
      </w:r>
    </w:p>
    <w:p>
      <w:r>
        <w:t>A/2925/2019 - 20/21 - durée normale de travail de 41.7 heures, stable depuis 2012, le revenu avec invalidité est de CHF 67'406.-. La comparaison des revenus aboutit ainsi à une perte de gain de 9.35 %, qu’il y a lieu d’arrondir au pourcent inférieur selon les règles mathématiques (ATF 130 V 121 consid. 3.2). Ce taux reste insuffisant pour ouvrir le droit à une rente. La décision de l’intimée doit ainsi être confirmée dans son résultat. 12. Le recours est rejeté. Le recourant, qui succombe, n’a pas droit à des dépens (art. 61 let. g LPGA). Pour le surplus, la procédure est gratuite (art. 61 let. a LPGA). * * * * * *</w:t>
      </w:r>
    </w:p>
    <w:p>
      <w:r>
        <w:t>A/2925/2019 - 21/21 -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