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ATAS/438/2018 vom 24. Mai 2018</w:t>
      </w:r>
    </w:p>
    <w:p>
      <w:r>
        <w:t>GE Cour de justice, 2018-05-24, FR</w:t>
      </w:r>
    </w:p>
    <w:p>
      <w:r>
        <w:rPr>
          <w:b/>
        </w:rPr>
        <w:t xml:space="preserve">Quelle: </w:t>
      </w:r>
      <w:r>
        <w:t>https://mcp.opencaselaw.ch/entscheid/ge_gerichte_ATAS_438_2018</w:t>
      </w:r>
    </w:p>
    <w:p>
      <w:r>
        <w:t>FR: GE_GERICHTE ATAS/438/2018 du 24 mai 2018</w:t>
      </w:r>
    </w:p>
    <w:p>
      <w:r>
        <w:t>IT: GE_GERICHTE ATAS/438/2018 del 24 maggio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w:t>
      </w:r>
    </w:p>
    <w:p>
      <w:r>
        <w:rPr>
          <w:b/>
        </w:rPr>
        <w:t>E. 5</w:t>
      </w:r>
    </w:p>
    <w:p>
      <w:r>
        <w:t>10). 2. En vertu de l’art. 1 LAFam, les dispositions de la LPGA s'appliquent aux allocations familiales, à moins que la loi ne déroge expressément à la LPGA. Au nombre des dispositions de la LPGA applicables, on trouve notamment l’art. 52, dont l’alinéa 1er prévoit que les décisions peuvent être attaquées dans les trente jours par voie d'opposition auprès de l'assureur qui les a rendues, à l'exception des décisions d'ordonnancement de la procédure. De la même manière, au niveau cantonal, l’art. 38 al. 1 LAF prévoit que les décisions des caisses ou du fonds cantonal de compensation des allocations familiales peuvent être attaquées, dans les 30 jours suivant leur notification, par la</w:t>
      </w:r>
    </w:p>
    <w:p>
      <w:r>
        <w:t>A/4614/2017 - 4/5 - voie de l'opposition auprès de la caisse qui les a rendues, respectivement auprès du fonds cantonal de compensation des allocations familiales, à l'exception des décisions d'ordonnancement de la procédure. Il ressort de ce qui précède que seules les décisions sur opposition sont sujettes à recours. Or, en l’espèce, la décision querellée, datée du 6 septembre 2017, n’a pas encore fait l'objet d'une opposition, les voies de droit indiquées étant erronées. Il convient par conséquent de constater que le recours doit être considéré en l'état comme irrecevable, car prématuré et de le renvoyer à l'intimée comme objet de sa compétence, à charge pour elle de rendre une décision sur opposition en bonne et due forme qui pourra alors, cas échéant, être portée devant la Cour de céans par la voie d'un recours.</w:t>
      </w:r>
    </w:p>
    <w:p>
      <w:r>
        <w:t>A/4614/2017 - 5/5 -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