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ATAS/438/2010 vom 28. April 2010</w:t>
      </w:r>
    </w:p>
    <w:p>
      <w:r>
        <w:t>GE Cour de justice, 2010-04-28, FR</w:t>
      </w:r>
    </w:p>
    <w:p>
      <w:r>
        <w:rPr>
          <w:b/>
        </w:rPr>
        <w:t xml:space="preserve">Quelle: </w:t>
      </w:r>
      <w:r>
        <w:t>https://mcp.opencaselaw.ch/entscheid/ge_gerichte_ATAS_438_2010</w:t>
      </w:r>
    </w:p>
    <w:p>
      <w:r>
        <w:t>FR: GE_GERICHTE ATAS/438/2010 du 28 avril 2010</w:t>
      </w:r>
    </w:p>
    <w:p>
      <w:r>
        <w:t>IT: GE_GERICHTE ATAS/438/2010 del 28 aprile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Interjeté dans les délais et la forme prescrite, le recours est recevable (art. 56 à 60 LPGA ; art. 89B de la loi sur la procédure administrative, du 12 septembre 1985 (LPA ; RS E 5 10)).</w:t>
      </w:r>
    </w:p>
    <w:p>
      <w:r>
        <w:t>A/249/2010 - 5/9 -</w:t>
      </w:r>
    </w:p>
    <w:p>
      <w:r>
        <w:rPr>
          <w:b/>
        </w:rPr>
        <w:t>E. 4</w:t>
      </w:r>
    </w:p>
    <w:p>
      <w:r>
        <w:t>Il ressort du dossier que le recourant n'a annoncé des lésions dentaires à l'intimée que le 18 juin 2009, alors que l'accident qui est invoqué comme étant à l'origine des lésions dentaires date du 27 juin 2006, soit près de trois ans auparavant. Le recourant réclame la prise en charge par l'intimée des soins dentaires de juin 2009. Le litige porte sur le point de savoir si les frais du traitement dentaire en cause sont à la charge de l'intimée au titre d'une séquelle tardive de l'accident survenu en 2006.</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de l'assurance sont donc également versées en cas de rechutes ou de séquelles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w:t>
      </w:r>
    </w:p>
    <w:p>
      <w:r>
        <w:t>A/249/2010 - 6/9 - requiert des prestations de l'assurance-accidents pour ladite atteinte (RAMA 1994 n° U 206 p. 328 consid. 3b; ATF non publie U 192/06 du 10 avril 2007, consid. 3.2.2).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w:t>
      </w:r>
    </w:p>
    <w:p>
      <w:r>
        <w:t>A/249/2010 - 7/9 - des prestations, l'administration ou le juge a besoin de documents que le médecin doit lui fournir (ATF 122 V 158 consid. 1b; ATFA non publié du 13 octobre 2004, U 345/03,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9</w:t>
      </w:r>
    </w:p>
    <w:p>
      <w:r>
        <w:t>En l'espèce, le traitement dont le recourant demande la prise en charge par l'intimée consiste dans un pont entre les dents 13 à 23 dont la pose est rendue nécessaire par une fracture au niveau de 21 dans le sens longitudinal. Il convient de rappeler que le recourant portait un pont de 13 à 22 que son chirurgien-dentiste a démonté en 2009 afin d'extraire la dent 21 atteinte d'une lésion péri apicale. Le recourant allègue que l'événement de 2009 constitue une séquelle de l'événement de 2006. En effet, il soutient que la fracture de la dent 21, découverte et réparée en 2009, est due à l'événement de 2006. A l'époque, la SUVA a pris en charge les frais de traitement relatifs à cet événement, c'est-à-dire pour la coupure et le traumatisme crâniens. Ainsi, il n'est pas contesté que le recourant a subi des lésions physiques causées par un accident en 2006. Le point ici litigieux est de savoir s'il existe un lien de causalité entre la fracture de la dent 21 et l'accident de 2006. Selon le Dr L__________, dentiste-chirurgien de l'assuré, l'accident de 2006 "pourrait éventuellement être à l'origine de la fracture vu la grosseur du tenon radiculaire de cette dent". Quant au Dr M__________, dentiste-conseil de la SUVA, il a estimé que d'autres éléments, notamment le pivot et l'état parodontal,</w:t>
      </w:r>
    </w:p>
    <w:p>
      <w:r>
        <w:t>A/249/2010 - 8/9 - étaient plus à mêmes de causer la fracture de la dent 21 que l'accident survenu près de trois ans auparavant. En bref, les deux avis médicaux se rejoignent sur le fait que considérer les lésions dentaires comme une séquelle de l'accident de 2006 n'est qu'une hypothèse parmi d'autres. D'une part, le Dr M__________ propose d'autres scénarios possibles et, d'autre part, le Dr L__________ a vu le recourant en 2007 pour un traitement parodontal sans toutefois remarquer cette fracture. Le Tribunal ne peut que constater que la cause de la fracture de 2009 n'a pas pu être déterminée au degré de vraisemblance suffisant afin de rattacher la lésion dentaire découverte en 2009 avec l'événement de 2006. Le Tribunal de céans ne saurait par conséquent admettre un lien de causalité naturelle entre l'accident de 2006 et les traitements dentaires de 2009, de sorte que les traitements nécessaires ne sont pas à la charge de l'intimée.</w:t>
      </w:r>
    </w:p>
    <w:p>
      <w:r>
        <w:rPr>
          <w:b/>
        </w:rPr>
        <w:t>E. 10</w:t>
      </w:r>
    </w:p>
    <w:p>
      <w:r>
        <w:t>Au vu de ce qui précède, la décision attaquée ne peut qu'être confirmée. Aussi, le recours sera rejeté. Pour le surplus, la procédure est gratuite (art. 89H LPA).</w:t>
      </w:r>
    </w:p>
    <w:p>
      <w:r>
        <w:t>A/249/2010 - 9/9 -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