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ATAS/437/2022 vom 17. Mai 2022</w:t>
      </w:r>
    </w:p>
    <w:p>
      <w:r>
        <w:t>GE Cour de justice, 2022-05-17, FR</w:t>
      </w:r>
    </w:p>
    <w:p>
      <w:r>
        <w:rPr>
          <w:b/>
        </w:rPr>
        <w:t xml:space="preserve">Quelle: </w:t>
      </w:r>
      <w:r>
        <w:t>https://mcp.opencaselaw.ch/entscheid/ge_gerichte_ATAS_437_2022</w:t>
      </w:r>
    </w:p>
    <w:p>
      <w:r>
        <w:t>FR: GE_GERICHTE ATAS/437/2022 du 17 mai 2022</w:t>
      </w:r>
    </w:p>
    <w:p>
      <w:r>
        <w:t>IT: GE_GERICHTE ATAS/437/2022 del 17 maggio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1er janvier 2021, est entrée en vigueur la modification du 21 juin 2019 de la LPGA.</w:t>
      </w:r>
    </w:p>
    <w:p>
      <w:r>
        <w:rPr>
          <w:b/>
        </w:rPr>
        <w:t>E. 3.1</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3.2</w:t>
      </w:r>
    </w:p>
    <w:p>
      <w:r>
        <w:t>Déposé après le 1er janvier 2021, le recours sera donc traité sous l'angle du nouveau droit de la LPGA (cf. ATAS/360/2021 du 15 avril 2021 consid. 3).</w:t>
      </w:r>
    </w:p>
    <w:p>
      <w:r>
        <w:rPr>
          <w:b/>
        </w:rPr>
        <w:t>E. 4</w:t>
      </w:r>
    </w:p>
    <w:p>
      <w:r>
        <w:t>Dans la mesure où la décision litigieuse porte sur les prestations complémentaires pour la période du 1er avril 2019 au 31 août 2020, soit sur une période antérieure à l'entrée en vigueur, le 1er janvier 2021, des modifications des 22 mars, 20 décembre 2019 et 14 octobre 2020, le présent litige est soumis à l'ancien droit, en l'absence de dispositions transitoires prévoyant une application rétroactive du</w:t>
      </w:r>
    </w:p>
    <w:p>
      <w:r>
        <w:t>A/927/2021 - 4/12 - nouveau droit (arrêt du Tribunal fédéral des assurances U.18/07 du 7 février 2008 consid. 1.2). Les dispositions légales de la LPC seront donc citées ci-après dans leur teneur en vigueur jusqu'au 31 décembre 2020.</w:t>
      </w:r>
    </w:p>
    <w:p>
      <w:r>
        <w:rPr>
          <w:b/>
        </w:rPr>
        <w:t>E. 5</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6</w:t>
      </w:r>
    </w:p>
    <w:p>
      <w:r>
        <w:t>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le litige porte sur le montant des prestations complémentaires pour la période du 1er avril 2019 au 31 août 2020, en particulier sur l'intégration dans les calculs des avoirs qui seraient détenus par le recourant sur un compte en banque au Portugal.</w:t>
      </w:r>
    </w:p>
    <w:p>
      <w:r>
        <w:rPr>
          <w:b/>
        </w:rPr>
        <w:t>E. 7</w:t>
      </w:r>
    </w:p>
    <w:p>
      <w:r>
        <w:t>Sur le plan fédéral, les personnes qui ont leur domicile et leur résidence habituelle en Suisse et qui remplissent les conditions personnelles prévues aux art. 4, 6 et</w:t>
      </w:r>
    </w:p>
    <w:p>
      <w:r>
        <w:rPr>
          <w:b/>
        </w:rPr>
        <w:t>E. 8</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w:t>
      </w:r>
    </w:p>
    <w:p>
      <w:r>
        <w:rPr>
          <w:b/>
        </w:rPr>
        <w:t>E. 8.1</w:t>
      </w:r>
    </w:p>
    <w:p>
      <w:r>
        <w:t>Selon l’art. 11 al. 1 LPC, les revenus déterminants comprennent notamment: le produit de la fortune mobilière et immobilière (let. b); un quinzième de la fortune nette, un dixième pour les bénéficiaires de rentes de vieillesse, dans la mesure où elle dépasse CHF 37'500.- pour les personnes seules;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les ressources et parts de fortune dont un ayant droit s’est dessaisi (let. g); Pour les personnes vivant dans un home ou dans un hôpital (comme en l'espèce), les cantons peuvent fixer le montant de la fortune qui sera pris en compte en</w:t>
      </w:r>
    </w:p>
    <w:p>
      <w:r>
        <w:t>A/927/2021 - 5/12 - dérogeant à l’al. 1 let. c. Les cantons sont autorisés à augmenter, jusqu’à concurrence d’un cinquième, ce montant (al. 2). Le canton de Genève a fait usage de cette possibilité. Selon l'art. 2 al. 2 LPFC, pour les personnes vivant dans un home ou dans un établissement médico-social, en dérogation à l'art. 11 al. 1 let. c LPC, la part de la fortune nette prise en compte dans le calcul du revenu déterminant est de un huitième, respectivement de un cinquième pour les bénéficiaires de rentes de vieillesse, après déduction des franchises prévues par cette disposition.</w:t>
      </w:r>
    </w:p>
    <w:p>
      <w:r>
        <w:rPr>
          <w:b/>
        </w:rPr>
        <w:t>E. 8.1.1</w:t>
      </w:r>
    </w:p>
    <w:p>
      <w:r>
        <w:t>La fortune, au sens de l'art. 11 al. 1 let. b et c LPC, comprend toutes les choses mobilières et immobilières ainsi que les droits personnels et réels qui sont la propriété de l'assuré et qui peuvent être transformés en espèces (par le biais d'une vente ou d'un nantissement par exemple) pour être utilisés (Urs MÜLLER, Bundesgesetz über Ergäzungsleistungen zur Alters-, Hinterlassenen- und Invalidenversicherung, 2006 n. 35, Ralph JÖHL/Patricia USINGER-EGGER, Ergänzungsleistungen zur AHV/IV in Schweizerisches Bundesverwaltungsrecht [SBVR], Band XIV, Soziale Sicherheit, 2016, p. 1844 s n. 163). Ainsi, font notamment partie de la fortune : les gains à la loterie, la valeur de rachat d'une assurance-vie, l'épargne, les actions, les obligations, les successions, les versements en capital d'assurances, l'argent liquide (MÜLLER, op. cit., n. 35). Cette notion englobe tous les revenus de la fortune mobilière et immobilière, y compris le produit transférable en Suisse d’une fortune qui se trouve à l’étranger (ch. 3431.01 des directives de l'office fédéral des assurances sociales (ci-après: OFAS) concernant les prestations complémentaires à l'AVS et à l'AI, dans son état au 1er janvier 2021 [DPC]).</w:t>
      </w:r>
    </w:p>
    <w:p>
      <w:r>
        <w:rPr>
          <w:b/>
        </w:rPr>
        <w:t>E. 8.1.2</w:t>
      </w:r>
    </w:p>
    <w:p>
      <w:r>
        <w:t>En vertu de l'art. 17 de l'ordonnance sur les prestations complémentaires à l'assurance-vieillesse, survivants et invalidité du 15 janvier 1971 (OPC-AVS/AI – RS 831.301) ‒ dans sa teneur en vigueur jusqu'au 31 décembre 2020 ‒, la fortune prise en compte est évaluée selon les règles de la législation sur l'impôt cantonal direct du canton du domicile (al. 1). Lorsque l'immeuble ne sert pas à l'habitation du requérant ou à une personne comprise dans le calcul de la prestation complémentaire, il est pris en compte à sa valeur vénale (al. 4), soit la valeur du marché (DPC, ch. 3444.02). Dans ses commentaires concernant la modification de l'OPC-AVS/AI entrée en vigueur le 1er janvier 1992, l'OFAS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w:t>
      </w:r>
    </w:p>
    <w:p>
      <w:r>
        <w:t>A/927/2021 - 6/12 - les héritiers, à la charge de la collectivité publique qui octroie des prestations complémentaires (arrêt du Tribunal fédéral des assurances P.13/01 du 25 février 2002 consid 5c/aa; RCC 1991 p. 424).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Quant aux immeubles sis à l'étranger, on peut se fonder sur une estimation établie à l'étranger s'il n'est pas raisonnablement possible de procéder à une autre estimation (arrêt du Tribunal fédéral 9C_540/2009 du 17 septembre 2009 consid. 5.2; DPC, ch. 3444.03). En ce qui concerne plus spécifiquement le produit de la fortune immobilière, il y a dessaisissement au sens de l'art. 11 al. 1 let. g LPC lorsque les possibilités d'obtenir un revenu d'un immeuble ne sont pas exploitées ou ne le sont qu'insuffisamment. On doit admettre qu'il y a renonciation au revenu d'un immeuble lorsqu'il serait exigible de l'ayant droit - propriétaire, usufruitier ou locataire -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Patricia USINGER-EGGER, Ergänzungsleistungen zur AHV/IV, in SBVR, 3ème éd. 2016 p. 1838 s. n. 157; pour un cas d'application : cf. notamment l'arrêt du Tribunal fédéral des assurances P.33/05 du 8 novembre 2005 consid. 3; cf. également l'arrêt du Tribunal fédéral des assurances P.37/03 du 15 octobre 2003). Le revenu déterminant tiré d’un immeuble est celui qui pourrait effectivement être réalisé en cas de location, c’est-à-dire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que lorsqu’un immeuble n’est pas situé dans le canton de Genève, le recours à un taux forfaitaire de 4.5% de la valeur vénale retenu à titre de valeur locative (au sens large) ou de rendement de l’immeuble n’est pas excessif, et ce, dans la mesure où les conditions locales ne peuvent pas être déterminées aisément, contrairement aux immeubles situés dans le canton (cf. ATAS/306/2020 du 27 avril 2020 consid. 6 et les nombreux arrêts cités). En ce qui concerne le taux de conversion applicable pour le calcul de la fortune immobilière et de la valeur locative y relative, il y a lieu d’appliquer les DPC. Bien que ces directives concernent les rentes servies, elles sont applicables par analogie aux autres éléments composant les revenus déterminants tels que la fortune immobilière (cf. notamment ATAS/951/2021 du 16 septembre 2021 consd. 14; ATAS/1146/2019 du 9 décembre 2019 consid. 8).</w:t>
      </w:r>
    </w:p>
    <w:p>
      <w:r>
        <w:t>A/927/2021 - 7/12 - Selon le chiffre 3452.01 des DPC, pour les rentes et pensions qui sont versées en devises d’États parties à l’accord sur la libre circulation des personnes CH-UE ou à la Convention AELE, le cours de conversion applicable est le cours du jour publié par la Banque centrale européenne. Est déterminant le premier cours du jour disponible du mois qui précède immédiatement le début du droit à la prestation.</w:t>
      </w:r>
    </w:p>
    <w:p>
      <w:r>
        <w:rPr>
          <w:b/>
        </w:rPr>
        <w:t>E. 8.2</w:t>
      </w:r>
    </w:p>
    <w:p>
      <w:r>
        <w:t>Quant aux dépenses, l'art. 10 LPC énumère - de manière exhaustive - les dépenses reconnues. Ce montant inclut notamment les frais de nourriture, d'habillement, de soins corporels de consommation d'énergie (électricité, gaz, etc.), de communication, de transport ou de loisirs (arrêt du Tribunal fédéral 9C_945/2011 du 11 juillet 2012 consid. 5.1 et les références). Selon l'art. 10 al. 2 LPC, pour les personnes qui vivent en permanence ou pour une longue période dans un home ou dans un hôpital, les dépenses reconnues comprennent : 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 (let. a); un montant, arrêté par les cantons, pour les dépenses personnelles (let. b). Sont en outre reconnus comme dépenses, pour toutes les personnes : les frais d’entretien des bâtiments et les intérêts hypothécaires, jusqu’à concurrence du rendement brut de l’immeuble (art. 10 al. 3 let. b LPC). Selon l'art. 16 al. 1 OPC-AVS/AI, une déduction forfaitaire prévue pour l'impôt cantonal direct dans le canton de domicile s'applique aux frais d'entretien des bâtiments. À Genève, l'art. 20 al. 2 du règlement d'application de la loi sur l'imposition des personnes physiques dans sa teneur en vigueur dès le</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l'espèce, ainsi que l'admet finalement l'intimé dans son écriture du 4 avril 2022, il y a effectivement lieu de faire abstraction de la fortune comptabilisée au titre des avoirs bancaires au Portugal dans le calcul des prestations complémentaires (soit CHF 92'243.24 pour la période du 1er avril au 31 décembre 2019 et CHF 89'178.60 pour la période du 1er janvier au 31 août 2020). Il ressort en effet des pièces produites par le recourant le 17 mars 2022 que ses fonds à l'étranger avaient été transférés sur son compte auprès de la BCGE en juin 2017 ‒ avant le début du droit aux prestations le 1er avril 2019 ‒, dont le solde a déjà été pris en compte dans les calculs, et que, depuis lors, le compte portugais a été clôturé.</w:t>
      </w:r>
    </w:p>
    <w:p>
      <w:r>
        <w:rPr>
          <w:b/>
        </w:rPr>
        <w:t>E. 13</w:t>
      </w:r>
    </w:p>
    <w:p>
      <w:r>
        <w:t>Reste à déterminer, si comme le voudrait l'intimé, la chambre de céans peut réformer la décision litigieuse du 25 février 2021 au détriment du recourant, au motif qu'il conviendrait d'inclure dans les calculs la fortune immobilière sise au Portugal, que l'intimé a omis de prendre en considération, alors que le recourant la lui avait signalée par courrier du 3 janvier 2020 ‒ auquel était jointe une attestation fiscale du 30 juillet 2019 ‒, dans lequel il alléguait que la valeur fiscale de ses biens s'élevaient à EUR 108'225.06.</w:t>
      </w:r>
    </w:p>
    <w:p>
      <w:r>
        <w:rPr>
          <w:b/>
        </w:rPr>
        <w:t>E. 13.1</w:t>
      </w:r>
    </w:p>
    <w:p>
      <w:r>
        <w:t>Il sera au préalable relevé que, à défaut d'une décision formelle à cet égard, il ne s'agit là que d'une simple proposition de l'administration au juge (ATAS/185/2017 du 8 mars 2017).</w:t>
      </w:r>
    </w:p>
    <w:p>
      <w:r>
        <w:rPr>
          <w:b/>
        </w:rPr>
        <w:t>E. 13.2</w:t>
      </w:r>
    </w:p>
    <w:p>
      <w:r>
        <w:t>Cela étant dit, il y a lieu de rappeler qu'il appartient en premier lieu à l'intimé de procéder à des instructions complémentaires pour établir d'office l'ensemble des faits déterminants et, le cas échéant, d'administrer les preuves nécessaires</w:t>
      </w:r>
    </w:p>
    <w:p>
      <w:r>
        <w:t>A/927/2021 - 10/12 - avant de rendre sa décision (art. 43 al. 1 LPGA; arrêt du Tribunal fédéral 8C_580/2021 du 20 avril 2022 consid. 6). Faute d'investigations par l'intimé, la chambre de céans ignore la valeur vénale des biens immobiliers sis au Portugal (et non fiscale dont on ne connaît pas les éléments sur lesquels le fisc portugais s'est basé pour l'établir), la valeur locative, de même que la déduction forfaitaire pour les frais d'entretien des bâtiments qui est calculée sur la valeur locative. Quoi qu'il en soit, si l'on prend à tout le moins en compte la valeur fiscale de EUR 108'225.06, elle correspond à CHF 121'958.80 pour le calcul des prestations complémentaires dues dès le 1er avril 2019, respectivement à CHF 117'467.48 s'agissant de celles dues dès le 1er janvier 2020 (le taux de conversion publié par la Banque centrale européenne était au 31 décembre 2018 ‒ date déterminante pour calculer les prestations dues en 2019 ‒ de CHF 1.1269 pour EUR 1.- (https://sdw.ecb.europa.eu/quickview.do;jsessionid=77DB76E0D84EE1D81E61C BF196757E4B?SERIES_KEY=120.EXR.D.CHF.EUR.SP00.A&amp;start=31-12- 2018&amp;end=31-12-2018&amp;submitOptions.x=0&amp;submitOptions.y=0&amp;trans=N; et au 31 décembre 2019 ‒ date déterminante pour calculer les prestations dues en 2020 ‒ de CHF 1.0854 pour EUR 1.-; ATAS/72/2022 du 31 janvier 2022 consid. 12.2). À ces montants, qui sont supérieurs à ceux comptabilisés à tort par l'intimé au titre de la fortune mobilière étrangère, il y a lieu d'ajouter le produit de la fortune immobilière (valeur locative). Cela a pour conséquence que le revenu déterminant du recourant sera manifestement supérieur à celui arrêté par l'intimé. Dans ce cas, quand bien même la déduction forfaitaire pour les frais d'entretien des bâtiments doit encore être incluse (tout au plus uniquement 20% de la valeur locative) au titre des dépenses reconnues, les prestations annuelles dues seront inférieures à celles accordées dans la décision litigieuse. La proposition de l'intimé implique donc l'examen de l'obligation de restituer des prestations déjà versées. Or, l'objet de la contestation est la décision du 25 février 2021 par laquelle l'intimé a mis le recourant au bénéfice de prestations complémentaires dès le 1er avril 2019. Dans cette décision, l'intimé ne s'est pas prononcé sur le principe et la quotité de la restitution des prestations complémentaires. Dans ces circonstances, la proposition de l'intimé ne peut pas aboutir à une reformatio in peius de la décision attaquée au détriment du recourant, dès lors qu'elle a pour effet d'étendre l'objet de la contestation. Or, une reformatio in peius ne se conçoit que dans le cadre de l'objet même de la contestation. La compétence d'une autorité de recours de statuer en défaveur de la partie recourante (reformatio in peius) ne saurait conduire à une modification, dans le sens d'une extension, de l'objet de la contestation (arrêt du Tribunal fédéral des assurances P.84/01 du 27 juin 2002 consid. 1b et les références).</w:t>
      </w:r>
    </w:p>
    <w:p>
      <w:r>
        <w:rPr>
          <w:b/>
        </w:rPr>
        <w:t>E. 14</w:t>
      </w:r>
    </w:p>
    <w:p>
      <w:r>
        <w:t>Au vu de ce qui précède, le recours sera partiellement admis, la décision du 25 février 2021 annulée en tant qu'elle inclut dans le calcul des prestations complémentaires des avoirs bancaires sis à l'étranger, et la cause renvoyée à</w:t>
      </w:r>
    </w:p>
    <w:p>
      <w:r>
        <w:t>A/927/2021 - 11/12 - l'intimé pour nouveaux calculs des prestations complémentaires, et nouvelle décision. Le recourant, représenté par un avocat nommé curateur, obtenant gain de cause, une indemnité lui sera accordée à titre de participation à ses frais et dépens (art. 61 let. g LPGA; art. 6 du règlement sur les frais, émoluments et indemnités en matière administrative du 30 juillet 1986 [RFPA - E 5 10.03]; ATF 116 II 399 consid. 4b), arrêtée en l'espèce à CHF 1'000.-. Pour le surplus, la procédure est gratuite (art. 61 let. fbis a contrario LPGA).</w:t>
      </w:r>
    </w:p>
    <w:p>
      <w:r>
        <w:t>A/927/2021 - 12/12 -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