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ATAS/436/2021 vom 6. Mai 2021</w:t>
      </w:r>
    </w:p>
    <w:p>
      <w:r>
        <w:t>GE Cour de justice, 2021-05-06, FR</w:t>
      </w:r>
    </w:p>
    <w:p>
      <w:r>
        <w:rPr>
          <w:b/>
        </w:rPr>
        <w:t xml:space="preserve">Quelle: </w:t>
      </w:r>
      <w:r>
        <w:t>https://mcp.opencaselaw.ch/entscheid/ge_gerichte_ATAS_436_2021</w:t>
      </w:r>
    </w:p>
    <w:p>
      <w:r>
        <w:t>FR: GE_GERICHTE ATAS/436/2021 du 6 mai 2021</w:t>
      </w:r>
    </w:p>
    <w:p>
      <w:r>
        <w:t>IT: GE_GERICHTE ATAS/436/2021 del 6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alors déjà pendant devant la Cour de céans, il reste soumis à l'ancien droit (cf. art. 83 LPGA).</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4.3</w:t>
      </w:r>
    </w:p>
    <w:p>
      <w:r>
        <w:t>; arrêt du Tribunal fédéral 9C_618/2019 du 16 mars 2020 consid. 8.2).</w:t>
      </w:r>
    </w:p>
    <w:p>
      <w:r>
        <w:rPr>
          <w:b/>
        </w:rPr>
        <w:t>E. 5</w:t>
      </w:r>
    </w:p>
    <w:p>
      <w:r>
        <w:t>Le litige porte sur la question de savoir si c’est à juste titre que l’intimé a nié au recourant le droit à des prestations en statuant en l’état du dossier, vu son absence de collaboration.</w:t>
      </w:r>
    </w:p>
    <w:p>
      <w:r>
        <w:rPr>
          <w:b/>
        </w:rPr>
        <w:t>E. 6</w:t>
      </w:r>
    </w:p>
    <w:p>
      <w:r>
        <w:t>Aux termes de l’art. 43 al. 1 1ère phrase LPGA, l’assureur examine les demandes, prend d’office les mesures d’instruction nécessaires et recueille les renseignements dont il a besoin. L’assuré doit se soumettre à des examens médicaux et/ou techniques si ceux-ci sont nécessaires à l’appréciation du cas et qu’ils peuvent être raisonnablement exigés de sa part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alors avoir adressé une mise en demeure écrite les avertissant des conséquences juridiques et leur impartissant un délai de réflexion convenable (art. 43 al. 3 LPGA).</w:t>
      </w:r>
    </w:p>
    <w:p>
      <w:r>
        <w:t>A/1735/2020 - 6/12 -</w:t>
      </w:r>
    </w:p>
    <w:p>
      <w:r>
        <w:rPr>
          <w:b/>
        </w:rPr>
        <w:t>E. 7</w:t>
      </w:r>
    </w:p>
    <w:p>
      <w:r>
        <w:t>En l’espèce, le caractère inexcusable du manque de réaction du D______, ne fait aucun doute, bien qu’il s’en défende. À cet égard, il suffira de relever que la première sommation adressée au D______ remonte à avril 2018, alors que le départ de la curatrice invoqué par le service n’est intervenu que durant l’automne 2019 et ne saurait donc expliquer l’absence de réponse du D______. Quoi qu’il en soit, celui-ci ne saurait invoquer des règles d’organisation interne pour se défausser de ses obligations envers l’intimé et son pupille. Enfin, on rappellera que, selon la jurisprudence du Tribunal fédéral, une partie répond de toute faute commise par ses auxiliaires (ATF 114 Ib 69ss consid. 2 et 3 ; André GRISEL, Traité de droit administratif, vol II, Neuchâtel 1984, p. 897; Alfred KÖLZ / Isabelle HÄNER, Verwaltungsverfahren und Verwaltungsrechtspflege des Bundes, Zürich 1993, p. 98, ch. 151), de sorte que la faute du curateur est malheureusement imputable à l’assuré lui-même, dont les rares éléments médicaux recueillis permettent de penser que l’attitude et son absence de collaboration sont imputables précisément à son problème d’addiction à l’alcool et non à sa seule mauvaise volonté. Dans ces circonstances, on ne saurait reprocher à l’OAI d’avoir statué sur la base du dossier, au vu de l’échec de ses multiples et réitérées tentatives d’obtenir un rapport médical digne de ce nom. Encore faut-il vérifier si c’est à juste titre que l’intimé, au vu du seul document médical recueilli en dépit de l’attitude du recourant, a rejeté la demande de ce dernier.</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A/1735/2020 - 7/12 -</w:t>
      </w:r>
    </w:p>
    <w:p>
      <w:r>
        <w:rPr>
          <w:b/>
        </w:rPr>
        <w:t>E. 9</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w:t>
      </w:r>
    </w:p>
    <w:p>
      <w:r>
        <w:t>A/1735/2020 - 8/12 -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10</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w:t>
      </w:r>
    </w:p>
    <w:p>
      <w:r>
        <w:t>A/1735/2020 - 9/12 -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w:t>
      </w:r>
    </w:p>
    <w:p>
      <w:r>
        <w:rPr>
          <w:b/>
        </w:rPr>
        <w:t>E. 11</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 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w:t>
      </w:r>
    </w:p>
    <w:p>
      <w:r>
        <w:t>A/1735/2020 - 10/12 - qu’il maintient délibérément son état pathologique, l’art. 7b al. 1 LAI en liaison avec l'art. 21 al. 4 LPGA permet le refus ou la réduction des prestations (consid 5.3.1).</w:t>
      </w:r>
    </w:p>
    <w:p>
      <w:r>
        <w:rPr>
          <w:b/>
        </w:rPr>
        <w:t>E. 12</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w:t>
      </w:r>
    </w:p>
    <w:p>
      <w:r>
        <w:rPr>
          <w:b/>
        </w:rPr>
        <w:t>E. 13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A/1735/2020 - 11/12 -</w:t>
      </w:r>
    </w:p>
    <w:p>
      <w:r>
        <w:rPr>
          <w:b/>
        </w:rPr>
        <w:t>E. 14</w:t>
      </w:r>
    </w:p>
    <w:p>
      <w:r>
        <w:t>En l’espèce, force est de constater que le seul rapport médical que l’intimé a pu obtenir est celui de la Fondation C______, qui, s’il retient certes des diagnostics (troubles mentaux et du comportement liés à l’utilisation d’alcool, syndrome de dépendance, phobie sociale et épisode dépressif sévère) et conclut à une totale incapacité de travail, convient néanmoins qu’il est impossible de répondre aux questions posées puisque l’assuré ne s’est plus présenté après 2018. Les tentatives de l’intimé pour réinstaurer un suivi médical à ses propres frais sont demeurées vaines. En conséquence, il a été impossible à l’intimé d’éclaircir la question de savoir si l’alcoolisme du recourant et ses autres atteintes psychiques pouvaient ou non être qualifiés d’invalidants au vu des différents indicateurs posés par la jurisprudence. Il découle de ce qui précède que l'existence de troubles psychiques ayant une incidence sur la capacité de travail n'est pas démontrée au degré de la vraisemblance prépondérante requis en matière d'assurances sociales, de sorte que c’est à juste titre que l’intimé a rejeté la demande de prestations sur la base du dossier. Eu égard aux considérations qui précèdent, le recours est rejeté.</w:t>
      </w:r>
    </w:p>
    <w:p>
      <w:r>
        <w:t>A/1735/2020 - 12/12 -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