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ATAS/436/2017 vom 30. Mai 2017</w:t>
      </w:r>
    </w:p>
    <w:p>
      <w:r>
        <w:t>GE Cour de justice, 2017-05-30, FR</w:t>
      </w:r>
    </w:p>
    <w:p>
      <w:r>
        <w:rPr>
          <w:b/>
        </w:rPr>
        <w:t xml:space="preserve">Quelle: </w:t>
      </w:r>
      <w:r>
        <w:t>https://mcp.opencaselaw.ch/entscheid/ge_gerichte_ATAS_436_2017</w:t>
      </w:r>
    </w:p>
    <w:p>
      <w:r>
        <w:t>FR: GE_GERICHTE ATAS/436/2017 du 30 mai 2017</w:t>
      </w:r>
    </w:p>
    <w:p>
      <w:r>
        <w:t>IT: GE_GERICHTE ATAS/436/2017 del 30 maggio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w:t>
      </w:r>
    </w:p>
    <w:p>
      <w:r>
        <w:rPr>
          <w:b/>
        </w:rPr>
        <w:t>E. 3</w:t>
      </w:r>
    </w:p>
    <w:p>
      <w:r>
        <w:t>En l’espèce, une ordonnance d’expertise a été notifiée dans le cadre de la cause A/3051/2016. Dès lors que ses conclusions, qui porteront en particulier sur l’évaluation de la capacité de travail du recourant, seront également pertinentes dans le cadre de la présente procédure, il convient de suspendre celle-ci jusqu’à droit connu dans la procédure A/3051/2016.</w:t>
      </w:r>
    </w:p>
    <w:p>
      <w:r>
        <w:t>A/3410/2016 - 3/3 -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