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ATAS/436/2012 vom 28. März 2012</w:t>
      </w:r>
    </w:p>
    <w:p>
      <w:r>
        <w:t>GE Cour de justice, 2012-03-28, FR</w:t>
      </w:r>
    </w:p>
    <w:p>
      <w:r>
        <w:rPr>
          <w:b/>
        </w:rPr>
        <w:t xml:space="preserve">Quelle: </w:t>
      </w:r>
      <w:r>
        <w:t>https://mcp.opencaselaw.ch/entscheid/ge_gerichte_ATAS_436_2012</w:t>
      </w:r>
    </w:p>
    <w:p>
      <w:r>
        <w:t>FR: GE_GERICHTE ATAS/436/2012 du 28 mars 2012</w:t>
      </w:r>
    </w:p>
    <w:p>
      <w:r>
        <w:t>IT: GE_GERICHTE ATAS/436/2012 del 28 marzo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Il existe des cas où il n’est pas possible de procéder à un partage des prestations de sortie conformément à l’art. 122 al. 1 CC. Le principal cas d’impossibilité est la survenance d’un cas de prévoyance, si minimes soient les prestations versées ou les avoirs à leur base. Dans ce cas, une indemnité équitable au sens de l’art. 124 CC sera due (ATF 130 III 297 consid. 3.3.1 p. 300; 129 V 447, consid. 5.1). Toutefois, lorsque le conjoint, pour lequel le cas de prévoyance est réalisé, n'était pas soumis à la prévoyance professionnelle pendant la durée du mariage et ne disposait donc au moment du divorce d'aucun avoir susceptible d'être pris en compte pour le calcul d'une prestation de vieillesse, un cas de prévoyance le concernant n'est pas réalisé. Par conséquent, rien ne s'oppose au partage de la prestation de sortie de l'autre conjoint par le juge du divorce (arrêt non publié B 19/03 du 30 janvier 2004consid. 5.2)</w:t>
      </w:r>
    </w:p>
    <w:p>
      <w:r>
        <w:rPr>
          <w:b/>
        </w:rPr>
        <w:t>E. 4</w:t>
      </w:r>
    </w:p>
    <w:p>
      <w:r>
        <w:t>En l’espèce, le juge de première instance a ordonné le partage par moitié de la prestation de sortie acquise durant le mariage par le demandeur. Les dates pertinentes sont, d’une part, celle du mariage, le 3 février 2006, d’autre part le 6 novembre 2011, date à laquelle le jugement de divorce est devenu exécutoire.</w:t>
      </w:r>
    </w:p>
    <w:p>
      <w:r>
        <w:t>A/56/2012 4/5 Conformément à la jurisprudence précitée, le partage de cet avoir est toujours possible, en dépit du fait que la demanderesse bénéficie déjà d'une rente d'invalidité. En effet, le cas de prévoyance s'était déjà réalisé avant le mariage, de sorte qu'elle n'a pas été affiliée durant le mariage à une institution de prévoyance professionnelle et ne dispose d'aucun avoir de vieillesse.</w:t>
      </w:r>
    </w:p>
    <w:p>
      <w:r>
        <w:rPr>
          <w:b/>
        </w:rPr>
        <w:t>E. 5</w:t>
      </w:r>
    </w:p>
    <w:p>
      <w:r>
        <w:t>Selon les documents produits, la prestation acquise pendant le mariage par le demandeur est de 64'237 fr. 60, les intérêts ayant déjà été calculés par les institutions de prévoyance défenderesses. Ainsi le demandeur doit à son ex-épouse le montant de 32'118 fr. 80 (64'237 fr. 60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A/56/2012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