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ATAS/435/2017 vom 30. Mai 2017</w:t>
      </w:r>
    </w:p>
    <w:p>
      <w:r>
        <w:t>GE Cour de justice, 2017-05-30, FR</w:t>
      </w:r>
    </w:p>
    <w:p>
      <w:r>
        <w:rPr>
          <w:b/>
        </w:rPr>
        <w:t xml:space="preserve">Quelle: </w:t>
      </w:r>
      <w:r>
        <w:t>https://mcp.opencaselaw.ch/entscheid/ge_gerichte_ATAS_435_2017</w:t>
      </w:r>
    </w:p>
    <w:p>
      <w:r>
        <w:t>FR: GE_GERICHTE ATAS/435/2017 du 30 mai 2017</w:t>
      </w:r>
    </w:p>
    <w:p>
      <w:r>
        <w:t>IT: GE_GERICHTE ATAS/435/2017 del 30 maggio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w:t>
      </w:r>
    </w:p>
    <w:p>
      <w:r>
        <w:t>A/1223/2017 4/5 2012 à 2013, 1.75% de 2014 à 2015, 1.25% en 2016 et 1% dès le 1er janvier 2017. Par conséquent, les intérêts dus au demandeur sur la somme de CHF 10'618.90 existant au 28 novembre 2002 se montent à CHF 3'550.75. 4. En l’espèce, le juge de première instance a ordonné le partage par moitié des prestations de sortie acquises durant le mariage par les demandeurs. Les dates pertinentes sont, d’une part, celle du mariage, le 28 novembre 2002, d’autre part le</w:t>
      </w:r>
    </w:p>
    <w:p>
      <w:r>
        <w:rPr>
          <w:b/>
        </w:rPr>
        <w:t>E. 10</w:t>
      </w:r>
    </w:p>
    <w:p>
      <w:r>
        <w:t>juin 2016, date à laquelle le jugement de divorce est devenu exécutoire s’agissant du principe du divorce et du partage des avoirs de prévoyance accumulés par les ex-époux durant le mariage. 5. Selon les documents produits, la prestation acquise pendant le mariage par le demandeur est de CHF 51'108.05 (CHF 65'278.00 – [CHF 10'618.90 + CHF 3'550.75 d’intérêts]), tandis la demanderesse n’a pas cotisé pour la prévoyance professionnelle durant cette période. Ainsi le demandeur doit à son ex-épouse le montant de CHF 25'554.025 (CHF 51'108.05 : 2), arrondi à CHF 25'554.05.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A/1223/2017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