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ATAS/435/2014 vom 26. März 2014</w:t>
      </w:r>
    </w:p>
    <w:p>
      <w:r>
        <w:t>GE Cour de justice, 2014-03-26, FR</w:t>
      </w:r>
    </w:p>
    <w:p>
      <w:r>
        <w:rPr>
          <w:b/>
        </w:rPr>
        <w:t xml:space="preserve">Quelle: </w:t>
      </w:r>
      <w:r>
        <w:t>https://mcp.opencaselaw.ch/entscheid/ge_gerichte_ATAS_435_2014</w:t>
      </w:r>
    </w:p>
    <w:p>
      <w:r>
        <w:t>FR: GE_GERICHTE ATAS/435/2014 du 26 mars 2014</w:t>
      </w:r>
    </w:p>
    <w:p>
      <w:r>
        <w:t>IT: GE_GERICHTE ATAS/435/2014 del 26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A/2758/2013 - 16/24 - s'applique sans réserve dès le jour de son entrée en vigueur (ATF 117 V 93 consid. 6b, ATF 112 V 360 consid. 4a; RAMA 1998 KV 37 p. 316 consid. 3b). En l'espèce, les faits juridiquement déterminants remontent à 2010.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 voir également ATF 130 V 329).</w:t>
      </w:r>
    </w:p>
    <w:p>
      <w:r>
        <w:rPr>
          <w:b/>
        </w:rPr>
        <w:t>E. 4</w:t>
      </w:r>
    </w:p>
    <w:p>
      <w:r>
        <w:t>Le délai de recours est de 30 jours. Interjeté dans la forme et le délai prévus par la loi, le recours est recevable (art. 56 à 61 LPGA).</w:t>
      </w:r>
    </w:p>
    <w:p>
      <w:r>
        <w:rPr>
          <w:b/>
        </w:rPr>
        <w:t>E. 5</w:t>
      </w:r>
    </w:p>
    <w:p>
      <w:r>
        <w:t>Le litige porte sur le droit de la recourante à une rente entière d’invalidité dès le 1er juin 2012, singulièrement sur la question de savoir si son état de santé a subi, depuis la décision du 12 juin 2009, une aggravation notable influençant son degré d’invalidité et, partant, son droit à une rente d’invalidité.</w:t>
      </w:r>
    </w:p>
    <w:p>
      <w:r>
        <w:rPr>
          <w:b/>
        </w:rPr>
        <w:t>E. 6</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w:t>
      </w:r>
    </w:p>
    <w:p>
      <w:r>
        <w:t>A/2758/2013 - 17/24 - une appréciation des preuves et une comparaison des revenus conformes au droit qui constitue le point de départ temporel pour l’examen d’une modification du degré d’invalidité lors d’une nouvelle révision de la rente (ATF 133 V 108 consid. 5.4, ATF 130 V 343 consid. 3.5.2).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A/2758/2013 - 18/24 - (MEYER-BLASER, Bundesgesetz über die Invalidenversicherung, Zurich 1997, p. 8).</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w:t>
      </w:r>
    </w:p>
    <w:p>
      <w:r>
        <w:t>A/2758/2013 - 19/24 -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Au vu de ce qui précède, le recours est partiellement admis, la décision litigieuse annulée et la cause renvoyée à l’intimé, à charge pour celui-ci de mettre en œuvre l’expertise susmentionnée selon la procédure prévue à l’art. 44 LPGA. La recourante, représentée par un conseil, obtient partiellement gain de cause, de sorte qu’une indemnité de 1'000 fr. lui est octroyée à titre de dépens (art. 61 let. g LPGA ; art. 6 du règlement sur les frais, émoluments et indemnités en procédure administrative du 30 juillet 1986 – RFPA ; RS/GE 5 10.03). La procédure de recours en matière de contestations portant sur l’octroi ou le refus de prestations de l’assurance-invalidité étant soumise à des frais de justice, un émolument de 200 fr. est mis à charge de l’intimé (art. 69 al. 1 bis LAI).</w:t>
      </w:r>
    </w:p>
    <w:p>
      <w:r>
        <w:t>A/2758/2013 - 24/24 -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