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ATAS/434/2021 vom 6. Mai 2021</w:t>
      </w:r>
    </w:p>
    <w:p>
      <w:r>
        <w:t>GE Cour de justice, 2021-05-06, FR</w:t>
      </w:r>
    </w:p>
    <w:p>
      <w:r>
        <w:rPr>
          <w:b/>
        </w:rPr>
        <w:t xml:space="preserve">Quelle: </w:t>
      </w:r>
      <w:r>
        <w:t>https://mcp.opencaselaw.ch/entscheid/ge_gerichte_ATAS_434_2021</w:t>
      </w:r>
    </w:p>
    <w:p>
      <w:r>
        <w:t>FR: GE_GERICHTE ATAS/434/2021 du 6 mai 2021</w:t>
      </w:r>
    </w:p>
    <w:p>
      <w:r>
        <w:t>IT: GE_GERICHTE ATAS/434/2021 del 6 maggio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ayant été interjeté dans les forme et délai prévus par la loi (art. 56 à 60 LPGA), il y a lieu de le déclarer recevable.</w:t>
      </w:r>
    </w:p>
    <w:p>
      <w:r>
        <w:rPr>
          <w:b/>
        </w:rPr>
        <w:t>E. 3</w:t>
      </w:r>
    </w:p>
    <w:p>
      <w:r>
        <w:t>A ce stade de la procédure, l’intimé a proposé l’admission partielle du recours en ce sens qu’il reconnaît : - qu’au total, le surcroît de temps consacré aux activités quotidiennes (se vêtir, manger, faire sa toilette, mais aussi se lever/s’asseoir/se coucher) doit être évalué à 1 heure et 27 minutes par jour (au lieu des 62 mn initialement admises) ; - que le temps consacré à se rendre à la Consultation spécialisée en autisme, au Groupe d’habiletés sociales et autres visites médicales doit également être comptabilisé, ce qui augmente le temps y relatif de 15 mn/j. à 39 mn/j. ; - que s’y ajoutent 2 heures de surveillance par jour ; Il en tire la conclusion que le droit à un SSI de 4 h./jour (plus précisément 4 heures et 5 minutes) doit ainsi être reconnu. Ne reste donc plus litigieuse que la question de l'ampleur du droit de l’enfant au supplément pour soins intenses, au sens de l’art. 42ter al. 3 LAI, en lien avec le besoin de surveillance permanente ou particulièrement intense au sens de l’art. 39 al. 3 du règlement du 17 janvier 1961 sur l’assurance-invalidité du 17 janvier 1961 (RAI - RS 831.201). En effet, les parents soutiennent que c’est un SSI de 6 h./j. qui devrait être admis. A cet égard, ils arguent en substance que chaque acte nécessite un temps de préparation, de négociation et de réflexion indispensable, que tout doit être structuré et préparé minutieusement avec l’enfant, car tout imprévu provoque des crises, et que leur enfant nécessite une surveillance intense et permanente. Pour le surplus, les parents semblent également continuer à réclamer une augmentation de l’allocation pour impotence.</w:t>
      </w:r>
    </w:p>
    <w:p>
      <w:r>
        <w:t>A/3574/2019 - 8/18 -</w:t>
      </w:r>
    </w:p>
    <w:p>
      <w:r>
        <w:rPr>
          <w:b/>
        </w:rPr>
        <w:t>E. 4</w:t>
      </w:r>
    </w:p>
    <w:p>
      <w:r>
        <w:t>Aux termes de l’art. 9 LPGA, est réputée impotente toute personne qui, en raison d’une atteinte à sa santé, a besoin de façon permanente de l’aide d’autrui ou d’une surveillance personnelle pour accomplir des actes élémentaires de la vie quotidienne. L’impotence peut être grave, moyenne ou faible (al. 2).</w:t>
      </w:r>
    </w:p>
    <w:p>
      <w:r>
        <w:rPr>
          <w:b/>
        </w:rPr>
        <w:t>E. 5</w:t>
      </w:r>
    </w:p>
    <w:p>
      <w:r>
        <w:t>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 au moins quatre, selon la circulaire sur l'invalidité et l'impotence dans l'assurance-invalidité (CIIAI), ch. 8009 –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L’art. 37 al. 4 RAI dispose que dans le cas des mineurs, seul est pris en considération le surcroît d’aide et de surveillance que le mineur handicapé nécessite par rapport à un mineur du même âge et en bonne santé.</w:t>
      </w:r>
    </w:p>
    <w:p>
      <w:r>
        <w:rPr>
          <w:b/>
        </w:rPr>
        <w:t>E. 6</w:t>
      </w:r>
    </w:p>
    <w:p>
      <w:r>
        <w:t>a. Selon la jurisprudence, sont déterminants les six actes ordinaires suivants pour définir le degré d’impotence : 1) se vêtir et se dévêtir, 2) se lever, s’asseoir et se coucher, 3) manger, 4) faire sa toilette (soins du corps), 5) aller aux cabinets et 6) se déplacer à l’intérieur ou à l’extérieur et établir des contacts (ATF 124 II 247 ; ATF 121 V 90 consid. 3a et les références citées). Cela est précisé dans la CIIAI (ch. 8010), laquelle prévoit que les actes ordinaires de la vie les plus importants se répartissent en six domaines : - se vêtir, se dévêtir (éventuellement adapter la prothèse ou l'enlever) ; - se lever, s'asseoir, se coucher (y compris se mettre au lit ou le quitter) ;</w:t>
      </w:r>
    </w:p>
    <w:p>
      <w:r>
        <w:t>A/3574/2019 - 9/18 -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 se déplacer (dans l'appartement, à l'extérieur, entretien des contacts sociaux). b.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du Tribunal fédéral 9C_666/2013 du 25 février 2014 consid. 8.1, in SVR 2014 IV n° 14 p. 55). De manière générale, on ne saurait réputer apte à un acte ordinaire de la vie l’assuré qui ne peut l’accomplir que d’une façon non conforme aux mœurs usuelles (ATF 106 V 159 consid. 2b). Par ailleurs,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 arrêt du Tribunal fédéral des assurances I 43/02 du 30 septembre 2002 consid. 1 et 2.1). c.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w:t>
      </w:r>
    </w:p>
    <w:p>
      <w:r>
        <w:rPr>
          <w:b/>
        </w:rPr>
        <w:t>E. 7</w:t>
      </w:r>
    </w:p>
    <w:p>
      <w:r>
        <w:t>En vertu de l’art. 42ter al. 3 LAI, l'allocation versée aux mineurs qui, en plus, ont besoin de soins intenses est augmentée d'un supplément pour soins intenses ; celui- ci n’est pas accordé lors d’un séjour dans un home. Selon la deuxième phrase de cet alinéa, dans sa teneur depuis le 1er janvier 2018, le montant mensuel de ce supplément s'élève à 100% du montant maximum de la rente vieillesse au sens de l'art. 34 al. 3 et 5 LAVS, lorsque le besoin de soins découlant de l'invalidité est de 8 heures par jour au moins, à 70% de ce montant maximum, lorsque le besoin est de 6 heures par jour au moins, et à 40% de ce montant maximum lorsque le besoin est de 4 heures par jour au moins. Le supplément est calculé par jour. Le Conseil fédéral règle les modalités. Il est précisé à l’art. 39 RAI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w:t>
      </w:r>
    </w:p>
    <w:p>
      <w:r>
        <w:t>A/3574/2019 - 10/18 -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Le point de savoir si l'impotent mineur a droit au supplément pour soins intenses repose sur une appréciation temporelle de la situation (cf. arrêt du Tribunal fédéral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de cette ordonnance (cf. Commentaire des modifications du RAI du 21 mai 2003 in: Pratique VSI 2003 p. 317 ss ; ad art. 39 al. 2 RAI p. 335). Ils consistent notamment en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(art. 7 al. 2 let. c ch. 1 OPAS). Il s’agit d’actes de nature thérapeutique, et non d’actes ordinaires tels que « se déplacer à l’intérieur et à l’extérieur / établir des contacts sociaux avec l’entourage ». La notion de "soins intenses" de l'art. 42ter al. 3 LAI comprend non seulement le surcroît de temps consacré au traitement et aux soins de base évoqué à l'art. 39 al. 2 RAI, mais aussi la surveillance permanente mentionnée à l'art. 39 al. 3 RAI (arrêt du Tribunal fédéral 9C_666/2013 du 25 février 2014 consid 8.2, in SVR 2014 IV n° 14 p. 55).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 arrêt du Tribunal fédéral 9C_666/2013 du 25 février 2014 consid 8.2, in SVR 2014 IV n° 14 p. 55 ; arrêt du Tribunal fédéral 9C_608/2007 du 31 janvier 2008 consid. 2.2.1 ; Commentaire des modifications du RAI du 21 mai 2003, in Pratique VSI 2003 p. 317 ss ; ad art. 39 al. 3 RAI p. 336).</w:t>
      </w:r>
    </w:p>
    <w:p>
      <w:r>
        <w:t>A/3574/2019 - 11/18 -</w:t>
      </w:r>
    </w:p>
    <w:p>
      <w:r>
        <w:rPr>
          <w:b/>
        </w:rPr>
        <w:t>E. 8</w:t>
      </w:r>
    </w:p>
    <w:p>
      <w:r>
        <w:t>a.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p. 633 n. 2364 à 2366). b. Le Conseil fédéral a souligné au sujet de l’art. 39 al. 3 RAI que lorsque l’enfant nécessite non seulement un soutien infirmier pendant certaines heures par jour, mais aussi une surveillance 24 heures sur 24 à cause de son invalidité, soit pour des raisons médicales (par exemple risque de crises d’épilepsie), soit en raison d’un handicap mental spécifique ou en cas d’autisme, cette situation extrêmement pénible pour les parents doit être prise en compte pour le calcul du supplément pour soins intenses. Il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c. La Circulaire sur l’invalidité et l’impotence dans l’assurance-invalidité (CIIAI) publiée par l’OFAS, dans sa version valable dès le 1er janvier 2015 (état au 1er janvier 2018), précise au chiffre 8079 qu’il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Si des instruments de surveillance (moniteur, alarme) peuvent être utilisés, il ne faut pas considérer d’office qu’il y a surveillance particulièrement intense. La nécessité d’une surveillance pendant la nuit ne constitue pas une condition pour la reconnaissance d’une surveillance particulièrement intense. Elle donne pour exemple le cas d’un enfant qui ne reconnait pas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w:t>
      </w:r>
    </w:p>
    <w:p>
      <w:r>
        <w:t>A/3574/2019 - 12/18 - doit donc rester très attentive, se tenir en permanence à proximité immédiate de l’enfant et être à tout moment prête à intervenir. La CIIAI précitée précise à son chiffre 8079.1 que le surcroît de temps de 120 minutes en cas de surveillance ou de 240 minutes en cas de surveillance particulièrement intense liée à l’atteinte à la santé (art. 39 al. 3 RAI) correspond à des forfaits et non au surcroît de temps effectif. Ces durées servent uniquement au calcul du droit au supplément pour soins intenses. d.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op. cit., n. 2370 p. 634). À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À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w:t>
      </w:r>
    </w:p>
    <w:p>
      <w:r>
        <w:t>A/3574/2019 - 13/18 -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 Le Tribunal fédéral a précisé que seul un poids minimal sera accordé à la surveillance personnelle dans les cas d'impotence grave (arrêt du Tribunal fédéral 9C_457/2015 du 21 octobre 2015 consid. 2.1 et les références citées ; arrêt du Tribunal fédéral des assurances I 567/06 du 5 mars 2007 consid. 4). Par définition, l'impotence grave présuppose en effet que l'assuré dépend régulièrement de l'aide d'autrui pour l'accomplissement de tous les actes ordinaires de la vie (ch. 8037 CIIAI renvoyant à l’ATF 106 V 153).</w:t>
      </w:r>
    </w:p>
    <w:p>
      <w:r>
        <w:rPr>
          <w:b/>
        </w:rPr>
        <w:t>E. 9</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 et 6.2).</w:t>
      </w:r>
    </w:p>
    <w:p>
      <w:r>
        <w:rPr>
          <w:b/>
        </w:rPr>
        <w:t>E. 10</w:t>
      </w:r>
    </w:p>
    <w:p>
      <w:r>
        <w:t>À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(arrêt du Tribunal fédéral 9C_350/2014 du 11 septembre 2014 consid 2.2).</w:t>
      </w:r>
    </w:p>
    <w:p>
      <w:r>
        <w:rPr>
          <w:b/>
        </w:rPr>
        <w:t>E. 11</w:t>
      </w:r>
    </w:p>
    <w:p>
      <w:r>
        <w:t>Le juge des assurances sociales fonde sa décision, sauf dispositions contraires de la loi, sur les faits qui, faute d’être établis de manière irréfutable, apparaissent comme</w:t>
      </w:r>
    </w:p>
    <w:p>
      <w:r>
        <w:t>A/3574/2019 - 14/18 -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En l’espèce, s’agissant d’abord de l’aide régulière d’autrui, l’intimé en a reconnu le besoin pour quatre des six actes ordinaires, à savoir : se vêtir, manger, faire sa toilette et se déplacer à l’extérieur. Il a également, dans ses dernières écritures, reconnu le besoin d’aide pour l’acte consistant à se lever/se coucher, puisqu’il a admis un surcroît de temps nécessaire de ce chef dans ses écritures du 15 décembre 2020. Reste le sixième acte, celui consistant à aller aux toilettes (se rhabiller, vérifier son hygiène corporelle/vérification de la propreté), pour lequel l’intimé n’a pas admis le besoin d’une aide particulière. Dans leur demande de réévaluation, les parents d’A______ ont indiqué que leur fils avait besoin d’aide pour se nettoyer après être allé à la selle et de stimulation pour se laver les mains et pour sortir des toilettes – où il pouvait demeurer, autrement, anormalement longtemps. L’enquêtrice l’a relevé, mais a ajouté, dans son rapport, que s’il pouvait arriver que l’enfant restât aux toilettes anormalement longtemps, cela n’était pas régulier et que, lors de l’évaluation à domicile, la mère de l’enfant avait indiqué qu’il était autonome. L’intimé relève au surplus que tel était déjà le cas lors de l’évaluation précédente et qu’il n’y avait aucun motif de considérer que tel ne serait plus le cas alors que l’enfant était désormais plus âgé. Entendus par la Cour de céans, les parents ont néanmoins précisé que si l’enfant pouvait aller seul aux toilettes à la maison, il avait toujours besoin d’être accompagné lorsqu’il était au-dehors, ce qu’a confirmé la psychologue G______ dans son rapport du 14 novembre 2019 : elle y explique que l’enfant a besoin de sa présence pour aller aux toilettes et qu’il est nécessaire de lui rappeler les différentes étapes (se rhabiller correctement, se laver les mains, etc.). Les parents ont par ailleurs répété ce qu’ils avaient mentionné dans leur demande, à savoir qu’il fallait impérativement aider A______ à s’essuyer correctement après être allé à la selle. Dans ces conditions, il apparaît à la Cour de céans que le besoin de l’aide régulière – ce qui ne veut pas dire systématique – d’autrui pour ce sixième acte de la vie est également avéré, de sorte que le droit à une allocation pour impotence de degré grave doit être reconnu. Sur ce point, le recours sera donc également admis.</w:t>
      </w:r>
    </w:p>
    <w:p>
      <w:r>
        <w:rPr>
          <w:b/>
        </w:rPr>
        <w:t>E. 13</w:t>
      </w:r>
    </w:p>
    <w:p>
      <w:r>
        <w:t>Reste à examiner l’ampleur du besoin de surveillance personnelle, afin de déterminer si celle-ci doit être qualifiée de particulièrement intense et correspondre</w:t>
      </w:r>
    </w:p>
    <w:p>
      <w:r>
        <w:t>A/3574/2019 - 15/18 - à un surcroît d’aide de quatre heures, ou de surveillance permanente, correspondant à un surcroît d’aide de deux heures (art. 39 al. 3 RAI). L’intimé a en effet admis que les éléments permettant de retenir une surveillance personnelle et permanente. Il estime toutefois que cette surveillance n’est pas particulièrement intense. A cet égard, il évoque le fait que, lors de la visite à domicile, il a été constaté que l’enfant s’y déplaçait librement, y compris sur le balcon. Les objets potentiellement dangereux lui étaient accessibles. Sa chambre était aménagée de façon usuelle et il dormait depuis longtemps dans un lit à mezzanine en hauteur. Tous ces éléments témoignaient certes d’un besoin de surveillance accrue par rapport à un autre enfant du même âge, mais pas de façon permanente particulièrement intense. Les parents avaient reconnu, tant pendant l’enquête à domicile que lors de l’audience, que l’enfant ne nécessitait pas la présence constante d’un adulte à ses côtés immédiats mais qu’au contraire, ils pouvaient le laisser seul quelques minutes. D’ailleurs, dans son école précédente, A______ était intégré dans des groupes ; l’intimé y voit la démonstration de l’absence du besoin d’une surveillance particulièrement intense, qui aurait nécessité que l’enfant soit seul avec un accompagnant attitré et permanent. Il convient tout d’abord de rappeler que l’enfant est atteint d’un trouble du spectre autistique. Dans son rapport du 14 novembre 2019, la psychologue qui le suit a souligné que l’enfant est envahi par des angoisses massives au moindre imprévu et que, les sources d’angoisse sont donc nombreuses, malgré les efforts de son entourage. Les réactions de l’enfant à ces angoisses sont potentiellement constamment présentes et s’inscrivent dans un « fonctionnement archaïque ». Sa peur le pousse à agir, son impulsivité rend le risque de passages à l’acte agressif très accru (taper, cracher, jeter des objets), de sorte qu’il nécessite une surveillance et une vigilance constantes. Le Dr E______ a quant à lui souligné plusieurs fois que l’enfant nécessite une surveillance accrue dans différentes activités, car il peut représenter un danger pour lui-même ou autrui. Ainsi, par exemple, il peut jeter des objets coupants sur quelqu’un, se montrer agressif envers les autres enfants ou encore se mettre en danger sur la route, car il peut se figer en ayant peur des voitures. Les recourants ont indiqué que le besoin de surveillance était particulièrement accru dans les moments de transition. Ils ont admis que ce besoin n’était pas forcément constant, mais régulier et soutenu. Ils ont expliqué qu’ils n’ont procédé à aucun aménagement particulier à la maison parce que l’enfant n’y est jamais seul. Tous les objets sont potentiellement dangereux, pas seulement les couteaux et ciseaux. Or il n’est impossible de tout enfermer. Le développement de la conscience du danger est réduit chez leur fils. Madame G______, dans son rapport du 14 novembre 2019, a d’ailleurs souligné devoir sécuriser son bureau avant la venue d’A______, en mettant hors de portée</w:t>
      </w:r>
    </w:p>
    <w:p>
      <w:r>
        <w:t>A/3574/2019 - 16/18 - les objets pouvant être lancés ou abîmés et qu’elle doit être totalement centrée sur lui, car quelques secondes de discontinuité, qui le plongent dans l’angoisse, peuvent entraîner un passage à l’acte. Leur enfant a besoin d’avoir toujours une personne de confiance dans son champ visuel et réagit de manière très sensible à tout imprévu. Il est dès lors indispensable qu’une personne se tienne en permanence à proximité et reste attentive à lui. À cet égard, si effectivement certaines mesures peuvent être prises pour limiter les dangers, comme par exemple la sécurisation du balcon ou la mise hors de portée de certains objets, il paraît évident que, dans de telles circonstances, des incidents ne peuvent être anticipés ou prévenus et nécessitent une attention constante de la personne chargée de la surveillance. La description donnée par la psychologue de l’attention qu’elle doit porter à l’enfant durant les séances correspond à surveillance permanente particulièrement intense puisque cela exige d’elle une attention supérieure à la moyenne et une disponibilité constante : elle doit se trouver en permanence à proximité immédiate de l’enfant, car un bref moment d’inattention pourrait de façon très probable provoquer des dommages considérables à des personnes ou à des objets. De leur côté, les parents ont expliqué que l’enfant ne restait jamais seul à la maison et devait constamment avoir une personne de référence dans son champ de vision. Certes, le seul diagnostic d’autisme, qui couvre un large spectre, ne suffit pas à admettre un cas de surveillance particulièrement intense (cf. arrêt I 49/07 op. cit.).</w:t>
      </w:r>
    </w:p>
    <w:p>
      <w:r>
        <w:t>Néanmoins, comme dans le cas de la fillette atteinte d’autisme évoqué supra, en l’occurrence, les risques liés à l’incapacité d’identifier le danger subsistent, par exemple celui évoqué par le Dr E______ de rester figé au milieu de la route ou, par impulsivité, d’atteindre autrui avec des objets. En dehors de quelques minutes, parfois, dans l’appartement, l’enfant doit toujours conserver un contact avec une personne connue et ne reste jamais seul. Le fait qu’il ait pu être intégré dans un groupe d’enfants dans son école précédente n’est pas déterminant dès lors qu’un accompagnant au moins était toujours présent et que le changement d’école a précisément été motivé par la nécessité de lui assurer un suivi plus particulier. A______ présente, au vu des descriptions fournies par le Dr E______ et la psychologue, un caractère d’imprévisibilité avec une tendance à des comportements hétéro-agressifs qui justifie une surveillance non seulement constante mais également d’une intensité indéniable, pour être à même de pouvoir réagir à temps et parer à tout acte impulsif non prévisible. Dès lors, au vu de ce qui précède et de la jurisprudence susmentionnée (notamment les arrêts du Tribunal fédéral 9C_666/2013 du 25 février 2014 et l’arrêt du Tribunal fédéral I 49/07 du 10 janvier 2008), la surveillance nécessitée par l’état de santé d’A______ doit être qualifiée de particulièrement intense, équivalente à quatre heures par jour. Ajoutée au supplément en temps déjà retenu de 2 heures, cela</w:t>
      </w:r>
    </w:p>
    <w:p>
      <w:r>
        <w:t>A/3574/2019 - 17/18 - conduit à un besoin d’un peu plus de 6 heures par jour, que l’on peut faire remonter à janvier 2019, date à laquelle les parents ont déposé leur demande de réévaluation.</w:t>
      </w:r>
    </w:p>
    <w:p>
      <w:r>
        <w:rPr>
          <w:b/>
        </w:rPr>
        <w:t>E. 14</w:t>
      </w:r>
    </w:p>
    <w:p>
      <w:r>
        <w:t>Bien fondé, le recours est admis et la décision litigieuse 2019 réformée en ce sens qu’il est dit que l’enfant a droit à une allocation pour impotent de degré grave, avec un supplément pour soins intenses de six heures dès le 1er janvier 2019. Les recourants obtenant gain de cause, une indemnité de CHF 3'000.- leur sera octroyée à titre de participation à leurs frais et dépens (art. 61 let. g LPGA ; art. 6 du règlement sur les frais, émoluments et indemnités en matière administrative du 30 juillet 1986 [RFPA - E 5 10.03]). La procédure en assurance-invalidité n’étant pas gratuite, l’intimé, qui succombe, supporte l’émolument de CHF 500.- (art. 69 al. 1bis LAI).</w:t>
      </w:r>
    </w:p>
    <w:p>
      <w:r>
        <w:t>A/3574/2019 - 18/18 -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