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ATAS/434/2020 vom 2. Juni 2020</w:t>
      </w:r>
    </w:p>
    <w:p>
      <w:r>
        <w:t>GE Cour de justice, 2020-06-02, FR</w:t>
      </w:r>
    </w:p>
    <w:p>
      <w:r>
        <w:rPr>
          <w:b/>
        </w:rPr>
        <w:t xml:space="preserve">Quelle: </w:t>
      </w:r>
      <w:r>
        <w:t>https://mcp.opencaselaw.ch/entscheid/ge_gerichte_ATAS_434_2020</w:t>
      </w:r>
    </w:p>
    <w:p>
      <w:r>
        <w:t>FR: GE_GERICHTE ATAS/434/2020 du 2 juin 2020</w:t>
      </w:r>
    </w:p>
    <w:p>
      <w:r>
        <w:t>IT: GE_GERICHTE ATAS/434/2020 del 2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w:t>
      </w:r>
    </w:p>
    <w:p>
      <w:r>
        <w:rPr>
          <w:b/>
        </w:rPr>
        <w:t>E. 4</w:t>
      </w:r>
    </w:p>
    <w:p>
      <w:r>
        <w:t>Le litige porte sur le droit du recourant à une demi-rente d’invalidité au-delà du 30 septembre 2017.</w:t>
      </w:r>
    </w:p>
    <w:p>
      <w:r>
        <w:t>A/2326/2019 - 15/30 -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w:t>
      </w:r>
    </w:p>
    <w:p>
      <w:r>
        <w:t>A/2326/2019 - 16/30 - 2008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w:t>
      </w:r>
    </w:p>
    <w:p>
      <w:r>
        <w:t>A/2326/2019 - 17/30 -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Ces indicateurs sont classés comme suit : I. Catégorie « degré de gravité fonctionnelle »</w:t>
      </w:r>
    </w:p>
    <w:p>
      <w:r>
        <w:t>A/2326/2019 - 18/30 -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A/2326/2019 - 19/30 -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A/2326/2019 - 20/30 -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a. Le recourant a adhéré aux conclusions de l’expertise judiciaire, alors que l’intimé les conteste.</w:t>
      </w:r>
    </w:p>
    <w:p>
      <w:r>
        <w:t>A/2326/2019 - 23/30 - A cet égard, il convient de constater que les griefs émis par l’intimé à l’encontre du rapport d’expertise judiciaire ne sont pas à même de mettre en doute la valeur probante de celui-ci. b/aa. Le SMR estime que les critères pour retenir un trouble dépressif ne sont pas présents chez le recourant. Selon la CIM-10 (GM 2018) dans les épisodes typiques de chacun des trois degrés de dépression: léger (F32.0), moyen (F32.1) ou sévère (F32.2, F32.3),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léger, moyen et sévère. L’épisode dépressif léger (F 32.0) est défini comme comprenant au moins deux ou trois des symptômes précités, lesquels s’accompagnent généralement d’un sentiment de détresse mais le sujet reste le plus souvent capable de poursuivre la plupart de ses activités. En l’occurrence, l’expert a relevé que le recourant avait présenté un épisode dépressif de gravité sévère (en mai 2016), puis de gravité moyenne (en novembre 2016) et finalement de gravité légère (en 2018). Il a constaté chez le recourant une difficulté à se réjouir, une anhédonie partielle, une perte d’élan vital favorisant l’épuisement, une fatigabilité, une anticipation anxieuse et pessimiste de l’avenir avec des phases d’abattement, un sentiment d’inutilité, une baisse de la motivation avec difficulté à démarrer une activité, des troubles du sommeil globaux, de l’insomnie avec une fatigue diurne et de la fatigabilité, (expertise GIL pp. 43, 48, 49, 55 et 62). Les critères pour retenir un trouble dépressif léger sont donc présents. b/bb. Le SMR conteste le diagnostic d’anxiété généralisée (F41.4 - CIM-10-2008). Celui-ci est défini comme comprenant des symptômes essentiels variables, mais l’intéressé se plaint de nervosité permanente, de tremblements, de tension musculaire, de transpiration, d’un sentiment de tête vide, de palpitations, d’étourdissements et d’une gêne épisodique. L’intéressé a souvent peur que lui- même ou un de ses proches tombe malade ou ait un accident.</w:t>
      </w:r>
    </w:p>
    <w:p>
      <w:r>
        <w:t>A/2326/2019 - 24/30 - Selon la DSM-5, l’anxiété généralisée (300.02) comprend les critères diagnostiques suivants : A. Anxiété et soucis excessifs (attente avec appréhension) survenant la plupart du temps durant au moins six mois concernant un certain nombre d’évènements ou d’activités (telles que le travail ou les performances scolaires). B. La personne éprouve de la difficulté à contrôler cette préoccupation. C. L’anxiété et les soucis sont associés à trois (ou plus) des six symptômes suivants (dont au moins certains symptômes ont été présents la plupart du temps durant les six derniers mois) : 1. Agitation ou sensation d’être survolté ou à bout. 2. Fatigabilité. 3. Difficultés de concentration ou trous de mémoire. 4. Irritabilité. 5. Tension musculaire. 6. Perturbation du sommeil (difficultés d’endormissement ou sommeil interrompu ou sommeil agité et non satisfaisant). D. L’anxiété, les soucis ou les symptômes physiques entrainent une détresse ou une altération cliniquement significatives du fonctionnement social, professionnel ou dans d’autres domaines importants. E. La perturbation n’est pas imputable aux effets physiologiques d’une substance (p. ex. substance donnant lieu à abus, médicament) ou d’une autre affection médicale (p. ex. hyperthyroidie). F. La perturbation n’est pas mieux expliquée par un autre trouble mental (par exemple anxiété ou souci d’avoir une autre attaque de panique) dans le trouble panique, évaluation négative dans l’anxiété sociale [phobie sociale], contamination ou autres obsessions dans le trouble obsessionnel-compulsif, séparation des figures d’attachement dans l’anxiété de séparation, souvenirs d’événements traumatiques dans le trouble stress post- traumatique, prise de poids dans l’anorexie mentale, plaintes somatiques dans le trouble à symptomatologie somatique, défauts d’apparence perçus dans l’obsession d’une dysmorphie corporelle, avoir une maladie grave dans la crainte excessive d’avoir une maladie, ou teneur de croyances délirantes dans la schizophrénie ou le trouble délirant). En l’occurrence, l’expert a relevé chez le recourant une inquiétude morbide de base, des soucis démesurés notamment pour des problèmes par rapport à ses enfants (expertise O______ p. 41), une fixation avec une amplifications des préoccupations mineures, une anxiété importante, une irritabilité, voire une explosivité, des insomnies, une fatigue diurne et un abattement pouvant durer plusieurs jours, de sorte que l’expert, même en l’absence de troubles somatiques objectivés, exigé comme critères diagnostics dans la CIM-10 (tels que tremblement, tension musculaires, transpiration, palpitation, étourdissement et gêne épisodique) a estimé que le recourant présentait une anxiété généralisée, conclusion qui peut être confirmée, au vu des critères diagnostiques précités du DSM-5. Au surplus, l’intimé a lui-même reconnu, à la suite de l’expertise du Dr I_____, la présence d’un trouble anxieux et dépressif mixte chez le recourant (avis du SMR du 19 juillet 2018), étant relevé que le Dr O______ a expliqué que la symptomatologie anxieuse décrite par le Dr I_____ avait été minimisée par celui-ci. En effet, le Dr O______ a indiqué que le test qu’il avait lui-même pratiqué d’héréro-évaluation de Hamilton avait mis en évidence une anxiété psychique pathologique (expertise</w:t>
      </w:r>
    </w:p>
    <w:p>
      <w:r>
        <w:t>A/2326/2019 - 25/30 - O______ p. 41), laquelle était déjà présente lors du test mené par le Dr I_____ ; celui-ci avait mentionné une tension psychique telle qu’une fatigue intense s’installait, le recourant étant submergé par le stress, irritable, vite contrarié et ruminant ses frustrations de jour comme de nuit (expertise O______ p. 67), ce qui va dans le sens du diagnostic posé par le Dr O______. Enfin, contrairement à l’avis du SMR, les symptômes de l’anxiété présents chez le recourant ne se produisent pas principalement dans le contexte professionnel mais aussi privé (anxiété et irritabilité excessive dans la sphère familiale, souvent en rapport aux enfants ; expertise GIL pp. 41 et 49). Le diagnostic d’anxiété généralisée doit ainsi être admis. b/cc. S’agissant du bilan neuropsychologique, contrairement à l’avis du SMR, l’expert a bien intégré son résultat dans son évaluation, dès lors qu’il n’a pas retenu les troubles de la mémoire comme limitation fonctionnelle et a estimé que le recourant présentait des troubles cognitifs subjectifs (expertise O______ pp. 49 et 55). b/dd. S’agissant du trouble de la personnalité, le SMR estime qu’il n’est pas incapacitant, le recourant ayant pu effectuer une formation professionnelle, évoluer, rebondir professionnellement et fonder une famille. Or, selon l’expert, les ressources évoquées par l’intimé étaient présentes antérieurement à la décompensation incapacitante de mai 2016, mais plus ensuite. A cet égard, l’expert a expliqué que jusqu’à la décompensation de 2016 le recourant avait montré d’importantes capacités adaptatives, en surmontant cinq années de maladie prolongée (suite à la morsure à la main par un chat en 2010), ayant nécessité onze opérations et entrainé un handicap permanent à la main dominante. Il avait en effet retrouvé un emploi à 100 % comme cadre qualifié et avait fait sa place dans l’entreprise, en assumant un rôle à responsabilité ; il avait aussi, du point de vue familial, été capable de soutenir son épouse, malade psychiquement et élever ses trois enfants, dont un souffrait de troubles du développement ; il s’était investi dans plusieurs hobbies et avait une vie sociale. Il présentait des traits morbides de type limite, une fragilité affective induite par des carences affectives précoces qu’il était parvenu à contenir jusqu’en 2016 ; il avait développé, au cours de son parcours de vie privée et professionnelle un sentiment d’injustice et d’abandon. Il avait présenté un état de choc en mai 2016 puis un état de crainte permanente, terrain fertile du trouble anxieux et dépressif persistant devenu chronique ; sa personnalité s’était transformée et il n’avait plus pu assumer son travail à responsabilités, nécessitant un cadre rassurant et rigide afin de maintenir un équilibre fragile. La décompensation de 2016 avait engendré des séquelles durables dues aux traits décompensés de la personnalité. Au vu de ce qui précède, les ressources évoquées par le SMR, si elles existaient de façon marquées avant mai 2016 (l’expert évoquant même une progression impressionnante du recourant, lui ayant permis de surmonter ses problèmes et de</w:t>
      </w:r>
    </w:p>
    <w:p>
      <w:r>
        <w:t>A/2326/2019 - 26/30 - recouvrer une capacité de travail partielle), ont disparus au delà, le recourant étant dans l’incapacité de rebondir, malgré sa volonté. b/ee. Le caractère incapacitant de l’affection psychique, contesté par le SMR, a été motivé par l’expert de façon circonstanciées. Il a en effet relevé ce qui suit : bien que cliniquement on puisse avoir l’impression de faire face à un tableau de gravité légère, cette apparence est trompeuse. L’état dépressif léger est associé à une anxiété généralisée et, surtout, à une nette fragilisation de la personnalité. Cette association entre une atteinte thymique-anxieuse et une décompensation de la personnalité est de nature à créer un cercle vicieux dans lequel chaque trouble entretient voire amplifie l’autre. Le fait que la personnalité soit décompensée prive l’assuré de ressources et l’empêche de rebondir, malgré sa volonté. Dans le cas de l’assuré, il ne s’agit pas d’exiger de lui une capacité de travail partielle à 50 % dans un emploi adapté. Il a déjà fait l’effort exigible pour assumer ce challenge. Pour en assumer davantage, et notamment travailler à plein temps, il lui faut des ressources dont il ne dispose pas. b/ff. Le SMR estime que l’examen des indicateurs jurisprudentiels conclut à l’absence d’atteinte sévère à la santé. L’analyse de ces indicateurs jurisprudentiels permet, au contraire, de suivre les conclusions de l’expert quant à une capacité de travail du recourant réduite à 50 % : Préalablement les troubles psychiques diagnostiqués résistent aux motifs d’exclusion, tels qu’une exagération et d’autres manifestations d’un profit secondaire tiré de la maladie, le recourant étant perçu comme totalement authentique et ayant même de la peine à exprimer ses troubles (expertise O______ p. 57). S’agissant de l’atteinte à la santé, les diagnostics posés ont été étayés et les limitations fonctionnelles décrites sont reliées aux diagnostics, plus précisément à l’interaction de ceux-ci (expertise O______ p. 59). On peut en déduire un degré de gravité encore important de la maladie, nonobstant l’évolution positive depuis la décompensation de 2016, laquelle avait engendré un trouble psychique sévère (expertise GIL p. 56). S’agissant du traitement, le recourant est très investi dans son suivi psychothérapeutique (entretien avec une psychologue et un psychiatre depuis le début de la maladie) et a été compliant au traitement médicamenteux composé de deux antidépresseurs (lequel a permis une rémission des symptômes), jusqu’à sa cessation, en novembre 2018, en raison d’effet secondaires indésirables, ce qui ne saurait être interprété comme un refus du traitement. On ne saurait en effet admettre, à la suite du SMR, que la cessation du traitement médicamenteux (qui a engendré la prise de poids de 60 kg ainsi que d’autres effets secondaires indésirables chez le recourant) et un suivi psychothérapeutique diminué (mais néanmoins maintenu à un rendez-vous hebdomadaire alors qu’il était très intensif au début de la maladie) est un indice d’une atteinte non sévère à la santé. Il y a dans</w:t>
      </w:r>
    </w:p>
    <w:p>
      <w:r>
        <w:t>A/2326/2019 - 27/30 - ces conditions lieu d’admettre que le recourant s’est soumis aux traitement adéquats avec motivation. L’expert préconise l’instauration d’un traitement antidépresseur, lequel ne serait toutefois à même d’augmenter que très partiellement la capacité de travail du recourant (de 50 à 60 %) et dont il conviendra, pour l’intimé, d’examiner l’exigibilité. En effet, l’expert relève que le recourant a cessé le traitement médicamenteux en raison d’effets secondaires (crainte de prendre du poids, d’un changement de personnalité, de troubles de la libido) et qu’il a une conception négative d’un tel traitement. Il est à cet égard rappelé que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Il incombera ainsi à l’intimé d’évaluer l’exigibilité d’un tel traitement. S’agissant de l’indicateur comorbidité, l’expert a souligné l’interaction des troubles psychiatriques comme facteur aggravant ; l’état dépressif léger, associé à une anxiété généralisée et à une nette fragilisation de la personnalité, crée un cercle vicieux dans lequel chaque trouble entraine, voire amplifie l’autre. La décompensation de la personnalité déclenche l’atteinte thymique et anxieuse et la persistance chronique de l’état dépressif interagit avec la personnalité et aggrave les traits morbides tels que la méfiance, le repli social, la conduite obsessionnelle. Un effort est exigible du recourant mais l’expert a estimé qu’il était déjà réalisé par l’activité exercée à un taux de 50 %. S’agissant du complexe personnalité, l’expert a retenu des traits de personnalité limite (abandonnique) décompensés qu’il a motivé de façon convaincante. En relation au complexe contexte social, l’expert a souligné que la dépression majeure développée en 2016 n’a rien à voir avec le registre psychosocial mais avec une problématique affective, la perte de l’épouse, compliquée par un sentiment de spoliation matérielle et de punition, se cherchant avec une problématique professionnelle. Quant au contexte de vie du recourant, l’expert a souligné que ce dernier a relativement peu de réseau social et semble plus solitaire que d’habitude, avec une relation sentimentale peu investie et des enfants engendrant une préoccupation permanente, qui étaient une charge plutôt qu’un appui. Le recourant voit une fois par semaine un ami mais il se décrit comme un grand solitaire, ce qui a été confirmé par une voisine et le psychiatre traitant qui a attesté, en mars 2017, d’un important retrait social.</w:t>
      </w:r>
    </w:p>
    <w:p>
      <w:r>
        <w:t>A/2326/2019 - 28/30 - Du point de vue des ressources, selon l’expert le recourant a ainsi une capacité adaptative très réduite, des ressources psychiques résiduelles faibles, un réseau social pauvre avec une difficulté à investir sa relation affective de couple, et des enfants qui sont une charge à soutenir et non un appui. A cet égard, les ressources intensives, citées par le SMR et qui ont permis au recourant de reprendre une activité professionnelle, ont été mobilisées après l’accident du 3 avril 2010 et avant la décompensation psychique de mai 2016. Certes, le recourant voit sa psychologue, vu le traitement entrepris et des clients, vu l’activité lucrative partielle exercée, ce qui ne peut, contrairement à l’avis du SMR être interprété comme des indices déterminants de l’existence d’une vie sociale. Au demeurant, le recourant est décrit comme très motivé à exercer une activité lucrative, ayant mobilisé toutes les ressources psychiques disponibles pour retrouver une activité adaptée à son état de santé, comme monteur, à la place de son activité antérieure de chef de projets, étant relevé qu’il a déjà montré de grandes capacités adaptative en retrouvant un emploi à la suite de son accident ayant entrainé de multiples opérations, une importante séquelle à la main dominante et une longue incapacité totale de travail. L’expert relève que le recourant tient à son travail et n’a pas de revendication pécuniaire. Enfin, le recourant gère son quotidien d’un point de vue administratif, tenue du ménage et éducation des enfants, ce qui n’est pas contesté, étant rappelé que le recourant possède une capacité de travail de 50 %, confirmée par l’expert, lequel a effectivement reconnu une capacité du recourant à se gérer lui et sa famille. S’agissant enfin de la cohérence, l’expert mentionne que le tableau clinique est parfaitement cohérent, sans atypie, que l’évolution de l’état de santé depuis la décompensation de 2016 est favorable, alors qu’on pouvait plutôt s’attendre à une évolution chronique et l’apparition d’une invalidité totale, et la récupération d’une capacité de travail partielle est impressionnante. Le recourant est parfaitement authentique. Il n’y a pas de discordance entre les plaintes et le comportement. Les limitations constatées dans le domaine professionnel se retrouvent dans les autres domaines de la vie, dès lors que le recourant a une vie sociale très réduite, est devenu solitaire, présente une diminution du plaisir dans les hobbies et a besoin de faire des siestes lorsqu’il ne travaille pas, étant même quasiment incapable de faire quoi que ce soit un jour par semaine. c. Au vu de ce qui précède, le caractère invalidant des troubles psychiques présentés par le recourant doit être admis, dans le sens que l’activité lucrative exercée, laquelle est adaptée, n’est exigible qu’à un taux de 50%.</w:t>
      </w:r>
    </w:p>
    <w:p>
      <w:r>
        <w:rPr>
          <w:b/>
        </w:rPr>
        <w:t>E. 13</w:t>
      </w:r>
    </w:p>
    <w:p>
      <w:r>
        <w:t>Le calcul du degré d’invalidité du recourant, opéré par l’intimé pour la période du</w:t>
      </w:r>
    </w:p>
    <w:p>
      <w:r>
        <w:rPr>
          <w:b/>
        </w:rPr>
        <w:t>E. 15</w:t>
      </w:r>
    </w:p>
    <w:p>
      <w:r>
        <w:t>Vu l’issue du litige, une indemnité de CHF 3’500.-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A/2326/2019 - 30/30 -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