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ATAS/434/2015 vom 11. Juni 2015</w:t>
      </w:r>
    </w:p>
    <w:p>
      <w:r>
        <w:t>GE Cour de justice, 2015-06-11, FR</w:t>
      </w:r>
    </w:p>
    <w:p>
      <w:r>
        <w:rPr>
          <w:b/>
        </w:rPr>
        <w:t xml:space="preserve">Quelle: </w:t>
      </w:r>
      <w:r>
        <w:t>https://mcp.opencaselaw.ch/entscheid/ge_gerichte_ATAS_434_2015</w:t>
      </w:r>
    </w:p>
    <w:p>
      <w:r>
        <w:t>FR: GE_GERICHTE ATAS/434/2015 du 11 juin 2015</w:t>
      </w:r>
    </w:p>
    <w:p>
      <w:r>
        <w:t>IT: GE_GERICHTE ATAS/434/2015 del 11 giugno 2015</w:t>
      </w:r>
    </w:p>
    <w:p>
      <w:pPr>
        <w:pStyle w:val="Heading2"/>
      </w:pPr>
      <w:r>
        <w:t>Erwägungen</w:t>
      </w:r>
    </w:p>
    <w:p>
      <w:r>
        <w:rPr>
          <w:b/>
        </w:rPr>
        <w:t>E. 1</w:t>
      </w:r>
    </w:p>
    <w:p>
      <w:r>
        <w:t>Conformément à l'art. 134 al. 1 let. a ch. 1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délai et forme prescrits par la loi, le recours doit être déclaré recevable.</w:t>
      </w:r>
    </w:p>
    <w:p>
      <w:r>
        <w:rPr>
          <w:b/>
        </w:rPr>
        <w:t>E. 3</w:t>
      </w:r>
    </w:p>
    <w:p>
      <w:r>
        <w:t>Conformément à l'art. 4 al. 1 LAVS, les cotisations des assurés qui exercent une activité lucrative sont calculées en pour-cent du revenu provenant de l’exercice de l’activité dépendante et indépendante. L’art. 22 al. 2 du règlement sur l'assurance-vieillesse et survivants du 31 octobre 1947 (RAVS - RS 831.101) précise que les cotisations des personnes indépendantes se calculent sur la base du revenu découlant du résultat de l’exercice commercial clos au cours de l’année de cotisations et du capital propre investi dans l’entreprise.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(art. 23 al. 1 RAVS). Les caisses de compensation sont liées par les données des autorités fiscales cantonales (art. 23 al. 4 RAVS). D'après la jurisprudence, toute taxation fiscale est présumée conforme à la réalité; cette présomption ne peut être infirmée que par des faits. Dès lors que les caisses de</w:t>
      </w:r>
    </w:p>
    <w:p>
      <w:r>
        <w:t>A/3703/2014 - 4/5 -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 judiciaire fiscale (ATF 110 V 86 consid. 4 et 370 s., 106 V 130 consid. 1, 102 V 30 consid. 3a; VSI 1997 p. 26 consid. 2b et la référence). Les communications fiscales sont également contraignantes lorsque les taxations entrées en force auraient probablement été corrigées si elles avaient été attaquées à temps par les voies de recours de droit fiscal (ATF 110 V 369).</w:t>
      </w:r>
    </w:p>
    <w:p>
      <w:r>
        <w:rPr>
          <w:b/>
        </w:rPr>
        <w:t>E. 4</w:t>
      </w:r>
    </w:p>
    <w:p>
      <w:r>
        <w:t>Les cotisations à l’assurance en cas de maternité (art. 3 al. 2 de la oi instituant une assurance en cas de maternité et d'adoption du 21 avril 2005 (LAMat - J 5 07) sont fixées sur la base du revenu de l’activité lucrative déterminant pour l’AVS. Il en va de même des contributions aux allocations familiales (art. 30 al. 1 de la loi sur les allocations familiales du 1er mars 1996 [LAF - J 5 10], qui renvoie lui aussi aux dispositions de la LAVS relative à la fixation des contributions).</w:t>
      </w:r>
    </w:p>
    <w:p>
      <w:r>
        <w:rPr>
          <w:b/>
        </w:rPr>
        <w:t>E. 5</w:t>
      </w:r>
    </w:p>
    <w:p>
      <w:r>
        <w:t>En l'espèce, les cotisations litigieuses ont été fixées sur la base de communications de l'administration fiscale genevoise indiquant à la caisse les éléments déterminants pour la fixation des cotisations. Les taxations d’office dont a fait l’objet le recourant sont entrées en force. Dès lors, la demande qu’il a adressée aux autorités fiscales en décembre 2014 ne constituent qu’une demande en reconsidération sur laquelle l’AFC n’a aucune obligation d’accepter d’entrer en matière. Aucune procédure régulière de recours n’est en revanche pendante devant l’AFC. Il est dès lors inutile - et vain - de suspendre l’instruction. Cas échéant, si par impossible - la paternité n’étant pas considérée comme un cas de force majeure justifiant une restitution de délai -, l’AFC décidait d’accéder à la demande du recourant, celui-ci pourrait alors se tourner à nouveau vers l’intimée pour lui demander la révision de ses décisions pour faits nouveaux. En l’état, force est de constater que c’est à juste titre que l’intimée s’est basée sur les chiffres qui lui ont été communiqués par l’AFC, dont les renseignements la lient. Au vu de ce qui précède, le recours, mal fondé, est rejeté.</w:t>
      </w:r>
    </w:p>
    <w:p>
      <w:r>
        <w:t>A/3703/2014 - 5/5 -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