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ATAS/434/2007 vom 24. April 2007</w:t>
      </w:r>
    </w:p>
    <w:p>
      <w:r>
        <w:t>GE Cour de justice, 2007-04-24, FR</w:t>
      </w:r>
    </w:p>
    <w:p>
      <w:r>
        <w:rPr>
          <w:b/>
        </w:rPr>
        <w:t xml:space="preserve">Quelle: </w:t>
      </w:r>
      <w:r>
        <w:t>https://mcp.opencaselaw.ch/entscheid/ge_gerichte_ATAS_434_2007</w:t>
      </w:r>
    </w:p>
    <w:p>
      <w:r>
        <w:t>FR: GE_GERICHTE ATAS/434/2007 du 24 avril 2007</w:t>
      </w:r>
    </w:p>
    <w:p>
      <w:r>
        <w:t>IT: GE_GERICHTE ATAS/434/2007 del 24 aprile 2007</w:t>
      </w:r>
    </w:p>
    <w:p>
      <w:pPr>
        <w:pStyle w:val="Heading2"/>
      </w:pPr>
      <w:r>
        <w:t>Erwägungen</w:t>
      </w:r>
    </w:p>
    <w:p>
      <w:r>
        <w:rPr>
          <w:b/>
        </w:rPr>
        <w:t>E. 1</w:t>
      </w:r>
    </w:p>
    <w:p>
      <w:r>
        <w:t>Conformément à l'art. 56 V al. 1 let. a ch.1 LOJ, le Tribunal cantonal des assurances sociales connaît en instance unique des contestations prévues à l’art. 56</w:t>
      </w:r>
    </w:p>
    <w:p>
      <w:r>
        <w:t>A/4673/2006 - 5/9 - de la loi fédérale sur la partie générale du droit des assurances sociales du 6 octobre 2000 (LPGA) qui sont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est réglée de manière plus détaillée qu’auparavant à l’art. 52 LAVS et les art. 81 et 82 RAVS ont été abrogés.</w:t>
      </w:r>
    </w:p>
    <w:p>
      <w:r>
        <w:rPr>
          <w:b/>
        </w:rPr>
        <w:t>E. 3</w:t>
      </w:r>
    </w:p>
    <w:p>
      <w:r>
        <w:t>Le recours, interjeté en temps utile, est recevable (articles 56 et 60 LPGA).</w:t>
      </w:r>
    </w:p>
    <w:p>
      <w:r>
        <w:rPr>
          <w:b/>
        </w:rPr>
        <w:t>E. 4</w:t>
      </w:r>
    </w:p>
    <w:p>
      <w:r>
        <w:t>Aux termes de l'art. 52 LAVS: "L’employeur qui, intentionnellement ou par négligence grave, n’observe pas des prescriptions et cause ainsi un dommage à l’assurance, est tenu à réparation. La caisse de compensation compétente fait valoir sa créance en réparation du dommage par décision.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w:t>
      </w:r>
    </w:p>
    <w:p>
      <w:r>
        <w:rPr>
          <w:b/>
        </w:rPr>
        <w:t>E. 5</w:t>
      </w:r>
    </w:p>
    <w:p>
      <w:r>
        <w:t>Le délai de deux ans court du moment où la caisse de compensation a connaissance du dommage et également de la personne tenue à le réparer (RCC 1991, p.132). La caisse a connaissance du dommage dès le moment où, avec toute l'attention que l'on peut attendre d'elle, elle doit constater qu'elle ne peut plus recouvrer les cotisations (VSI 1996, p. 167).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FRITSCHE : "Schuldbetreibung und Konkurs II, 2ème éd. p. 112), d'où résulte la perte de la créance de la Caisse.</w:t>
      </w:r>
    </w:p>
    <w:p>
      <w:r>
        <w:t>En l'espèce, la faillite a été clôturée par défaut d'actifs le 15 juin 2004. C'est à ce moment-là que la demanderesse a su qu'elle subirait un dommage. Force dès lors est de constater que par sa décision en réparation notifiée le 10 mars 2005, elle a agi</w:t>
      </w:r>
    </w:p>
    <w:p>
      <w:r>
        <w:t>A/4673/2006 - 6/9 - dans le délai de deux ans dès la connaissance du dommage prévu à l'art. 52 al. 3 LAVS. Le délai de cinq ans après la survenance du dommage a également été respecté.</w:t>
      </w:r>
    </w:p>
    <w:p>
      <w:r>
        <w:rPr>
          <w:b/>
        </w:rPr>
        <w:t>E. 6</w:t>
      </w:r>
    </w:p>
    <w:p>
      <w:r>
        <w:t>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 resté impayé pour un total de 111'335 fr., s'agissant du recourant.</w:t>
      </w:r>
    </w:p>
    <w:p>
      <w:r>
        <w:rPr>
          <w:b/>
        </w:rPr>
        <w:t>E. 7</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w:t>
      </w:r>
    </w:p>
    <w:p>
      <w:r>
        <w:t>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t>A/4673/2006 - 7/9 -</w:t>
      </w:r>
    </w:p>
    <w:p>
      <w:r>
        <w:rPr>
          <w:b/>
        </w:rPr>
        <w:t>E. 8</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consid. 3; 113 V 256, consid. 3c; RCC 1988, page 136, consid. 3c; ATFA 111 V 173, RCC 1985, page 649, consid. 2).</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du 21 avril 1988 en la cause A. ; FORSTMOSER, Die aktienrechtliche Verantwortlichkeit, 2ème éd., p. 209 et ss).</w:t>
      </w:r>
    </w:p>
    <w:p>
      <w:r>
        <w:rPr>
          <w:b/>
        </w:rPr>
        <w:t>E. 9</w:t>
      </w:r>
    </w:p>
    <w:p>
      <w:r>
        <w:t>En l’occurrence, le défendeur était administrateur de la société, titulaire de la signature individuelle du 4 avril 2000 au 27 février 2002, puis de la signature collective à deux jusqu'au 3 janvier 2003 selon l'inscription au registre du commerce, étant toutefois précisé qu'il a en réalité démissionné le 16 mai 2002. Il a dès lors indiscutablement la qualité d’organe formel de la société anonyme. (cf. FORSTMOSER, op. cit. N° 654 et 655, p. 2089 ; GUHL, MERZ &amp; KUMMER, Das schweizerische Obligationenrecht, 7ème éd., p. 691; ATF 86 II 271 et 93 II 22). Il n'est partant, pas nécessaire d'examiner s'il assumait un rôle prépondérant à la formation de la volonté au sein de la société.</w:t>
      </w:r>
    </w:p>
    <w:p>
      <w:r>
        <w:rPr>
          <w:b/>
        </w:rPr>
        <w:t>E. 10</w:t>
      </w:r>
    </w:p>
    <w:p>
      <w:r>
        <w:t>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w:t>
      </w:r>
    </w:p>
    <w:p>
      <w:r>
        <w:t>A/4673/2006 - 8/9 - responsabilité subsidiaire des organes de l’employeur (ATF 108 V 202 consid. 3a; RCC 1985, p. 51, consid. 2a et p. 648, consid. 3b).</w:t>
      </w:r>
    </w:p>
    <w:p>
      <w:r>
        <w:rPr>
          <w:b/>
        </w:rPr>
        <w:t>E. 11</w:t>
      </w:r>
    </w:p>
    <w:p>
      <w:r>
        <w:t>En l'espèce, le recourant allègue n'avoir accepté le mandat d'administrateur qu'en raison de son lien de subordination avec Monsieur P_________. Il a du reste immédiatement démissionné lorsqu'il a été licencié le 27 février 2002. Il n’utilisait la signature individuelle dont il était titulaire que pour viser les paiements courants, sans avoir aucun pouvoir de décision quant à la gestion des comptes. Il ajoute qu'il n'avait même pas la possibilité de les consulter.</w:t>
      </w:r>
    </w:p>
    <w:p>
      <w:r>
        <w:rPr>
          <w:b/>
        </w:rPr>
        <w:t>E. 12</w:t>
      </w:r>
    </w:p>
    <w:p>
      <w:r>
        <w:t>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w:t>
      </w:r>
    </w:p>
    <w:p>
      <w:r>
        <w:rPr>
          <w:b/>
        </w:rPr>
        <w:t>E. 13</w:t>
      </w:r>
    </w:p>
    <w:p>
      <w:r>
        <w:t>Il apparaît ainsi que le recourant répond envers la caisse du dommage causé, même s'il était tenu à l'écart de la gestion de la société. Tel n'a quoi qu'il en soit pas été le cas si l'on se fonde sur les déclarations des témoins entendus dans le cadre de la procédure pénale selon lesquelles la gestion administrative et financière était conjointement assumée par Monsieur P_________ et lui-même.</w:t>
      </w:r>
    </w:p>
    <w:p>
      <w:r>
        <w:rPr>
          <w:b/>
        </w:rPr>
        <w:t>E. 14</w:t>
      </w:r>
    </w:p>
    <w:p>
      <w:r>
        <w:t>Le recourant fait enfin valoir qu'au moment de son licenciement et de sa démission en mai 2002, la situation de la société était saine et qu'elle ne s'est détériorée que l'année suivante.</w:t>
      </w:r>
    </w:p>
    <w:p>
      <w:r>
        <w:t>Le Tribunal de céans relève à cet égard que les cotisations étaient versées en retard dès la création de la société.</w:t>
      </w:r>
    </w:p>
    <w:p>
      <w:r>
        <w:rPr>
          <w:b/>
        </w:rPr>
        <w:t>E. 15</w:t>
      </w:r>
    </w:p>
    <w:p>
      <w:r>
        <w:t>Il y a ainsi lieu de constater que par passivité et par ignorance des responsabilités incombant à un administrateur, le recourant s'est accommodé du non-paiement des cotisations, et a, partant, commis une grave négligence. Aussi le recours, mal fondé, doit-il être rejeté.</w:t>
      </w:r>
    </w:p>
    <w:p>
      <w:r>
        <w:t>A/4673/2006 - 9/9 -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