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ATAS/433/2020 vom 2. Juni 2020</w:t>
      </w:r>
    </w:p>
    <w:p>
      <w:r>
        <w:t>GE Cour de justice, 2020-06-02, FR</w:t>
      </w:r>
    </w:p>
    <w:p>
      <w:r>
        <w:rPr>
          <w:b/>
        </w:rPr>
        <w:t xml:space="preserve">Quelle: </w:t>
      </w:r>
      <w:r>
        <w:t>https://mcp.opencaselaw.ch/entscheid/ge_gerichte_ATAS_433_2020</w:t>
      </w:r>
    </w:p>
    <w:p>
      <w:r>
        <w:t>FR: GE_GERICHTE ATAS/433/2020 du 2 juin 2020</w:t>
      </w:r>
    </w:p>
    <w:p>
      <w:r>
        <w:t>IT: GE_GERICHTE ATAS/433/2020 del 2 giugno 2020</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A/3893/2019 - 8/22 -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Le litige porte sur la question de savoir si c’est à juste titre que l’intimé a requis du recourant la restitution des prestations complémentaires, tant dans son principe que dans la quotité, pour la période courant du 1er avril 2012 au 31 mars 2019.</w:t>
      </w:r>
    </w:p>
    <w:p>
      <w:r>
        <w:rPr>
          <w:b/>
        </w:rPr>
        <w:t>E. 5</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w:t>
      </w:r>
    </w:p>
    <w:p>
      <w:r>
        <w:t>A/3893/2019 - 9/22 - 19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w:t>
      </w:r>
    </w:p>
    <w:p>
      <w:r>
        <w:rPr>
          <w:b/>
        </w:rPr>
        <w:t>E. 6</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w:t>
      </w:r>
    </w:p>
    <w:p>
      <w:r>
        <w:t>A/3893/2019 - 10/22 -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Si la créance naît d'un acte punissable pour lequel le droit pénal prévoit un délai de prescription plus long, celui-ci est déterminant (art. 25 al. 2 2ème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arrêt du Tribunal fédéral 8C_592/2007 du 20 août 2008 consid. 5.4.3 et les références). Lorsque le délai de prescription de plus longue durée prévu par le droit pénal s’applique, le point de savoir si l’administration a agi dans le délai relatif d’une année peut rester ouvert (cf. arrêt du Tribunal fédéral 9C_400/2016 du 2 novembre 2016 consid. 4.1 et 5.2). c. En matière de prestations complémentaires, ce sont principalement les art. 31 LPC (art. 16 aLPC), 146 et 148a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Dans le domaine des subsides d’assurance- maladie,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w:t>
      </w:r>
    </w:p>
    <w:p>
      <w:r>
        <w:t>A/3893/2019 - 11/22 - prestation qui ne lui revient pas, par des indications fausses ou incomplètes ou de toute autre manière (ATAS/688/2018 du 16 août 2018 consid. 6).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 d. L'art. 31 al. 1 let. d LPC prévoit que celui qui manque à son obligation de communiquer au sens de l'art. 31 al. 1 LPGA est puni d'une peine pécuniaire n'excédant pas 180 jours-amendes.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Les art. 31 LPC et 92 LAMal supposent un agissement intentionnel de l'auteur. Il convient donc d'examiner s'il a agi avec conscience et volonté ou par dol éventuel (ATF 138 V 74 consid. 8.4.1). Il y a dol éventuel lorsque l'auteur envisage le résultat dommageable et agit, même s'il ne le souhaite pas, parce qu'il s'en accommode pour le cas où il se produirait (ATF 137 IV 1 consid. 4.2.3).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 Michel VALTÉRIO, Commentaire de la LPC, 2015, n. 3 ad art. 31).</w:t>
      </w:r>
    </w:p>
    <w:p>
      <w:r>
        <w:t>A/3893/2019 - 12/22 -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7</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w:t>
      </w:r>
    </w:p>
    <w:p>
      <w:r>
        <w:t>A/3893/2019 - 13/22 - ne viole pas le droit d’être entendu selon l’art. 29 al. 2 Cst. (SVR 2001 IV n. 10 p. 28 consid. 4b), la jurisprudence rendue sous l’empire de l’art. 4 aCst. étant toujours valable (ATF 124 V 94 consid. 4b ; 122 V 162 consid. 1d). b.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1ère phrase LPGA. Une vraisemblance, même prépondérante, ne suffit pas (ATF 138 V 74 consid. 7).</w:t>
      </w:r>
    </w:p>
    <w:p>
      <w:r>
        <w:rPr>
          <w:b/>
        </w:rPr>
        <w:t>E. 8</w:t>
      </w:r>
    </w:p>
    <w:p>
      <w:r>
        <w:t>En l’espèce, la décision querellée est motivée par le fait que le recourant s’est vu octroyer, en février 2014, une rente LPP mensuelle d’un montant de CHF 884.20 par mois pour lui-même et d’un montant de CHF 58.25 pour chacun de ses enfants, et qu’il a reçu un rétroactif du 15 juin 2005 au 28 février 2014 s’élevant à CHF 109'643.55, ce que l’intimé ignorait. Le SPC a appris l'existence de cette rente après avoir reçu, le 19 octobre 2018, les avis de taxation 2011 à 2018 du recourant, lesquels faisaient apparaître, dès 2014, une rente LPP. Il a ainsi initié la révision périodique de son dossier et lui a envoyé, par pli du 17 avril 2019, les décisions réclamant restitution des prestations. L’intimé a dès lors agi dans le délai d’une année après avoir appris l’existence de cette rente (art. 25 al. 2 1ère phr. LPGA).</w:t>
      </w:r>
    </w:p>
    <w:p>
      <w:r>
        <w:rPr>
          <w:b/>
        </w:rPr>
        <w:t>E. 9</w:t>
      </w:r>
    </w:p>
    <w:p>
      <w:r>
        <w:t>Il sied désormais d’examiner si l’intimé est en droit de réclamer au recourant les prestations indûment versées pour une période supérieure à celle de cinq ans prévue à l’art. 25 al. 2 LPGA, au motif que son comportement est constitutif d’une infraction pénale prévoyant un délai de prescription plus long.</w:t>
      </w:r>
    </w:p>
    <w:p>
      <w:r>
        <w:rPr>
          <w:b/>
        </w:rPr>
        <w:t>E. 10</w:t>
      </w:r>
    </w:p>
    <w:p>
      <w:r>
        <w:t>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b. En l’espèce, la demande en restitution du 17 avril 2019 porte sur la période du 1er avril 2012 au 31 mars 2019. L’intimé a donc appliqué le délai de péremption de sept ans, de sorte qu’il a considéré que le recourant ne s'est pas rendu coupable d'escroquerie. Rien ne justifie de s’écarter de cette appréciation, laquelle n’est pas remise en cause par les parties. Il convient encore d’examiner si le recourant a manqué à son obligation de communiquer.</w:t>
      </w:r>
    </w:p>
    <w:p>
      <w:r>
        <w:t>A/3893/2019 - 14/22 - En l’occurrence, il est manifeste que les faits reprochés au recourant - consistant en la non-déclaration de sa rente LPP et du montant rétroactif versé en 2014 par la CPC - réalisent les conditions objectives de l'infraction réprimée à l'art. 31 al. 1 let. d LPC et 92 al. 1 let. b LAMal. Il reste toutefois à déterminer si, en raison de son état de santé, les conditions subjectives de cette infraction sont réalisées. Le recourant conteste avoir la capacité de discernement, en raison des troubles psychiques dont il est affecté.</w:t>
      </w:r>
    </w:p>
    <w:p>
      <w:r>
        <w:rPr>
          <w:b/>
        </w:rPr>
        <w:t>E. 11</w:t>
      </w:r>
    </w:p>
    <w:p>
      <w:r>
        <w:t>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dans sa teneur en vigueur depuis le 1er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 421/2016 du 13 décembre 2016 consid. 5.2). b. La capacité de discernement des adultes majeurs est présumée d'après l'expérience générale de la vie (art. 16 CC) et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w:t>
      </w:r>
    </w:p>
    <w:p>
      <w:r>
        <w:t>A/3893/2019 - 15/22 -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5A_191/2012 du</w:t>
      </w:r>
    </w:p>
    <w:p>
      <w:r>
        <w:rPr>
          <w:b/>
        </w:rPr>
        <w:t>E. 12</w:t>
      </w:r>
    </w:p>
    <w:p>
      <w:r>
        <w:t>a. En l’espèce, contrairement à ce qu’il soutient, l’incapacité de discernement du recourant ne saurait être présumée en raison de sa pathologie psychiatrique. Selon la jurisprudence susmentionnée, pour présumer une incapacité de discernement en raison d’une atteinte mentale, il faut que celle-ci crée une dégradation durable et importante des facultés de l'esprit (arrêt du Tribunal fédéral 5A_859/2014 du 17 mars 2015 consid. 4.1.2 et la référence), ce qui ne semble pas le cas en l’espèce. Tout d’abord, le recourant a jusqu’au début du présent litige géré seul ses affaires, sans solliciter de l’aide d’un service social. Si une procédure de mise sous curatelle</w:t>
      </w:r>
    </w:p>
    <w:p>
      <w:r>
        <w:t>A/3893/2019 - 16/22 - semble avoir été ouverte en 2007, selon les pièces transmises par le recourant, celle-ci est restée sans suite, ayant été classée en raison de l’opposition de l’intéressé à sa mise sous curatelle. Il sied de relever ici que les circonstances ayant mené à l’ouverture de cette procédure sont inconnues. Il ressort par ailleurs du dossier que le recourant a régulièrement fait parvenir à l’intimé ses décomptes d’assurance-maladie pour en obtenir le remboursement, notamment en novembre 2013, en avril et en novembre 2014, puis en mars 2015. De surcroît, il a conclu le 5 mai 2014, soit moins de trois mois après avoir reçu les arriérés de rente LPP, une assurance-vie auprès de C______. Enfin, il semble avoir saisi l’opportunité de ce versement rétroactif pour prendre soin de sa santé, consultant à de nombreuses reprises un médecin-dentiste durant l’année en cause pour la pose d’implants dentaires. Au vu de ces diverses activités administratives que le recourant a accomplies seul l’année durant laquelle il a reçu le rétroactif de sa rente LPP, il paraît peu probable qu’il n’eût pas été en mesure psychique de déclarer ce montant rétroactif à l’intimé, comme l’indique le Dr G______ dans son certificat du 29 mai 2019. À cet égard, il sied de relever que le Dr G______ n’a pas vu le recourant durant l’année en cause, de sorte que son certificat ne se fonde que sur des renseignements cliniques qu’il aurait récoltés, et sur l’entretien qu’il a eu avec le recourant le 28 mai 2019, soit cinq ans après les faits. Ces éléments, ajoutés aux démarches ci- dessus mentionnées et accomplies par le recourant seul durant l’année en cause, suscitent certains doutes quant à la valeur probante de ce rapport. Il ressort par ailleurs du dossier que le Dr G______ a examiné le recourant la dernière fois le 9 novembre 2012, et adressé un rapport à l’OAI en avril 2013. Le Dr G______ a alors relevé que le recourant avait arrêté la consommation de cocaïne en 2010, ce qui avait entraîné une nette amélioration de sa relation avec son épouse et ses enfants, de sa symptomatologie psychotique et de son agressivité. Il continuait toutefois à consommer de l’héroïne, lors de l’affrontement aux stressants psychosociaux et dans un but auto thérapeutique. Il semble ainsi que l’état psychique du recourant était en voie d’amélioration moins de deux ans avant le versement de son rétroactif de rente LPP. Par ailleurs, si le Dr G______ a relevé en 2012 que la capacité de travail du recourant était toujours nulle et ce de manière définitive, il ne fait aucune mention d’une quelconque atteinte à sa capacité de discernement et rien ne permet de penser, à la lecture de ce rapport, que la capacité de discernement du recourant aurait pu être impactée par ses troubles psychiques. Il ressort également du rapport du Dr G______ que le recourant était suivi par son médecin traitant, le Dr H______. Or, si ce dernier avait constaté une éventuelle altération de sa capacité de discernement, il aurait vraisemblablement signalé son cas à l’autorité compétente pour l’instauration d’une mesure de protection.</w:t>
      </w:r>
    </w:p>
    <w:p>
      <w:r>
        <w:t>A/3893/2019 - 17/22 - Enfin, le recourant ne fait part d’aucun événement particulier qui aurait pu le faire sombrer l’année en cause et ne donne aucune explication concrète sur son état à l’époque des faits, se contentant d’alléguer qu’il aurait vécu une « période difficile ». Au vu de ce qui précède, ni les pièces produites par les parties, ni celles figurant au dossier ne permettent de considérer comme établi, au degré de la vraisemblance prépondérante requis, que les troubles psychiques dont souffre le recourant impacteraient sa capacité de discernement. En l’absence d’indices concrets pour une diminution de sa capacité de sa capacité de discernement, il n’est pas nécessaire de procéder à des actes d’instruction, notamment l’audition du Dr G______, comme l’a demandé le recourant. b. S’agissant de son intention délictuelle, le recourant ne peut soutenir qu’il ignorait l'obligation, qui était la sienne, de contrôler attentivement les montants figurant dans les décisions de prestations et de signaler à l'intimé tout changement survenant dans sa situation personnelle et/ou financière. Il ne pouvait non plus ignorer les conséquences attachées à son inobservation, en particulier l'obligation de rembourser des prestations qui, après un nouveau calcul de son droit aux prestations, s'avéreraient avoir été indûment perçues. Cela lui avait été répété maintes fois, par le biais des décisions lui ayant été notifiées et de la « Communication importante » lui ayant été envoyée en décembre de chaque année. De même, le recourant ne pouvait pas ignorer que le SPC n'avait pas pris en compte dans ses décisions la rente LPP qu'il touchait de la CPC dès 2014. En gardant le silence, il a accepté ce résultat, quand bien même il n'a sans doute pas été en mesure de chiffrer l'ampleur du trop-perçu dont il bénéficiait. Il a ainsi commis les infractions prévues par les art. 31 LPC et 92 LAMal par dol éventuel. C'est donc à bon droit que l'intimé a fait rétroagir sa décision de restitution sur sept ans.</w:t>
      </w:r>
    </w:p>
    <w:p>
      <w:r>
        <w:rPr>
          <w:b/>
        </w:rPr>
        <w:t>E. 13</w:t>
      </w:r>
    </w:p>
    <w:p>
      <w:r>
        <w:t>Il reste à déterminer si c’est à juste titre que l’intimé a pris en compte pour la période dès le 1er janvier 2017 une épargne de CHF 73'499.- à titre de biens dessaisis.</w:t>
      </w:r>
    </w:p>
    <w:p>
      <w:r>
        <w:rPr>
          <w:b/>
        </w:rPr>
        <w:t>E. 14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t>A/3893/2019 - 18/22 -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Les dépenses reconnues sont celles énumérées par la LPC et ses dispositions d'exécution, à l'exclusion du montant destiné à la couverture des besoins vitaux, remplacé par le montant destiné à garantir le revenu minimum cantonal d'aide sociale défini à l'art. 3 LPCC.</w:t>
      </w:r>
    </w:p>
    <w:p>
      <w:r>
        <w:rPr>
          <w:b/>
        </w:rPr>
        <w:t>E. 15</w:t>
      </w:r>
    </w:p>
    <w:p>
      <w:r>
        <w:t>Aux termes de l'art. 11 al. 1 let. g LPC, les revenus déterminants pour calculer le montant de la prestation complémentaire annuelle comprend notamment les ressources et parts de fortune dont un ayant droit s'est dessaisi. a. 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Il y a lieu de prendre en compte dans le revenu déterminant tout dessaisissement sans limite de temps (Pierre FERRARI, Dessaisissement volontaire et prestations complémentaires à l'AVS/AI in RSAS 2002, p. 420).</w:t>
      </w:r>
    </w:p>
    <w:p>
      <w:r>
        <w:t>A/3893/2019 - 19/22 -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L'amortissement ne devient donc effectif qu'à compter de la deuxième année qui suit le dessaisissement. En outre, en présence de dessaisissements successifs, ceux- ci sont additionnés, de sorte qu'il n'y a dès lors qu'un dessaisissement de fortune (Michel VALTERIO, Commentaire de la loi fédérale sur les prestations complémentaires à l'AVS et à l'AI, 2015, n. 120 ad art. 11 LPC). b. Le dessaisissement suppose que l'assuré ait la capacité de discernement s'agissant de la diminution de sa fortune (arrêt du Tribunal fédéral 9C_934/2009 du 28 avril 2010 consid. 5.1). Dans un arrêt du 20 février 2018, la chambre de céans a retenu que l’on ne pouvait retenir de dessaisissement dans le cas d’une recourante présentant des troubles</w:t>
      </w:r>
    </w:p>
    <w:p>
      <w:r>
        <w:t>A/3893/2019 - 20/22 - psychiques qui, à teneur des rapports médicaux figurant au dossier, altéraient sa capacité d'apprécier l'opportunité de ses achats au regard de sa situation financière et leurs effets sur l’état de sa fortune, car elle n’avait pas la capacité de prévoir à long terme. La recourante n’avait pas non plus la capacité d’agir selon sa libre volonté puisque lesdits achats calmaient ses angoisses en créant un univers rassurant pour elle, bien qu’ils apparaissaient déraisonnables pour des personnes équilibrées. Par conséquent, la chambre de céans a tenu pour établi qu’au moment desdits achats, la recourante était privée de la capacité d’agir raisonnablement en raison de ses troubles psychiques, respectivement était incapable de discernement (ATAS/143/2018 consid. 13 c).</w:t>
      </w:r>
    </w:p>
    <w:p>
      <w:r>
        <w:rPr>
          <w:b/>
        </w:rPr>
        <w:t>E. 16</w:t>
      </w:r>
    </w:p>
    <w:p>
      <w:r>
        <w:t>En l’espèce, le recourant a reçu, en février 2014, un rétroactif de rente LPP pour lui-même et ses enfants de CHF 109'643.55. Dans les plans de calcul annexés à la décision querellée, l’intimée a retenu une épargne de CHF 12'623.- en janvier et février 2014, de CHF 122'266.55 pour la période du 1er mars au 31 décembre 2014 (correspondant à l’épargne préalable du recourant, additionnée au montant rétroactif reçu de la CPC), de CHF 137'010.45 pour l’année 2015, de CHF 104'514.60 pour l’année 2016, de CHF 38’023.20 pour l’année 2017, de CHF 27'976.55 pour l’année 2018, puis de CHF 25'945.85 dès le 1er janvier 2019. S’agissant des biens dessaisis, l’intimé a retenu une somme de CHF 17'008.- pour l’année 2016, puis de CHF 73'449.- dès l’année 2017, ce montant étant réduit de CHF 10'000.-, chaque année, dès 2018. Le recourant a pour sa part indiqué à l’intimé avoir vécu une période difficile, et dépensé la majorité de son argent dans la drogue et autres addictions, et a produit divers justificatifs de soins dentaires dont il a bénéficié durant l’année 2014. Devant la chambre de céans, il soutient ne pas avoir disposé de la capacité de discernement nécessaire pour se rendre compte qu’il dilapidait l’argent qu’il avait touché. La capacité de discernement étant une notion relative, s’analysant concrètement par rapport à un acte déterminé (ATF 134 II 235 consid. 4.3.2), il convient d’examiner si elle peut être retenue s’agissant du dessaisissement qui lui est reproché. Contrairement à ce qui était le cas dans l’ATAS/143/2018 susmentionné, il ne ressort pas des rapports médicaux figurant au dossier que les troubles psychiques dont souffre le recourant et sa consommation d’opiacés auraient pu altérer sa capacité d'apprécier l'opportunité de ses achats au regard de sa situation financière et leurs effets sur l’état de sa fortune. Comme exposé ci-dessus, il ressort au contraire du rapport du Dr G______ du 15 avril 2013 que sa situation s’était améliorée depuis quelques années, le recourant ne consommant plus de cocaïne depuis 2010 et continuant à consommer de l’héroïne, de façon régulière, mais non massive. Le recourant se contente d’alléguer, sans appuyer ses dires par des pièces, qu’il aurait vécu une période difficile. À cet égard, le certificat du Dr G______ du 29 mai 2019, à teneur duquel il aurait connu en 2014 des difficultés cognitives majeures, a été établi cinq ans après les faits et ne se fonde, comme susmentionné,</w:t>
      </w:r>
    </w:p>
    <w:p>
      <w:r>
        <w:t>A/3893/2019 - 21/22 - que sur les dires du recourant et divers renseignements cliniques non spécifiés par ledit médecin, de sorte que sa valeur probante est discutable. Au vu de ce qui précède, on ne saurait retenir, au degré de la vraisemblance prépondérante, que le recourant n’aurait pas eu, durant les années en cause, la capacité de discernement nécessaire pour agir raisonnablement et apprécier l’opportunité et les effets de ses dépenses. S’agissant des montants retenus par l’intimé, le recourant n’a produit que quelques justificatifs de frais dentaires encourus en 2014, s’élevant à EUR 12'880.-. Il n’a fourni aucune autre justification à l’importante diminution de son épargne entre mars 2014 et janvier 2019, qui s’est élevée à plus de CHF 96'000.-. C’est dès lors à bon droit que l’intimé a retenu près de CHF 75'000.- de biens dessaisis. Au vu de ce qui précède, la décision querellée, conforme au droit, doit être confirmée.</w:t>
      </w:r>
    </w:p>
    <w:p>
      <w:r>
        <w:rPr>
          <w:b/>
        </w:rPr>
        <w:t>E. 17</w:t>
      </w:r>
    </w:p>
    <w:p>
      <w:r>
        <w:t>Il reste encore à préciser que la demande de remise du recourant ne peut être examinée à ce stade de la procédure. En effet, dans la mesure où la demande de remise ne peut être traitée sur le fond que si la décision de restitution est entrée en force, la remise et son étendue font l'objet d'une procédure distincte (arrêt du Tribunal fédéral 9C_211/2009 du 26 février 2010 consid. 3.1).</w:t>
      </w:r>
    </w:p>
    <w:p>
      <w:r>
        <w:rPr>
          <w:b/>
        </w:rPr>
        <w:t>E. 18</w:t>
      </w:r>
    </w:p>
    <w:p>
      <w:r>
        <w:t>Au vu de ce qui précède, le recours est rejeté. Pour le surplus, la procédure est gratuite (art. 61 let. a LPGA).</w:t>
      </w:r>
    </w:p>
    <w:p>
      <w:r>
        <w:t>A/3893/2019 - 22/22 -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