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ATAS/433/2010 vom 14. Januar 2009</w:t>
      </w:r>
    </w:p>
    <w:p>
      <w:r>
        <w:t>GE Cour de justice, 2009-01-14, FR</w:t>
      </w:r>
    </w:p>
    <w:p>
      <w:r>
        <w:rPr>
          <w:b/>
        </w:rPr>
        <w:t xml:space="preserve">Quelle: </w:t>
      </w:r>
      <w:r>
        <w:t>https://mcp.opencaselaw.ch/entscheid/ge_gerichte_ATAS_433_2010</w:t>
      </w:r>
    </w:p>
    <w:p>
      <w:r>
        <w:t>FR: GE_GERICHTE ATAS/433/2010 du 14 janvier 2009</w:t>
      </w:r>
    </w:p>
    <w:p>
      <w:r>
        <w:t>IT: GE_GERICHTE ATAS/433/2010 del 14 gennaio 2009</w:t>
      </w:r>
    </w:p>
    <w:p>
      <w:pPr>
        <w:pStyle w:val="Heading2"/>
      </w:pPr>
      <w:r>
        <w:t>Erwägungen</w:t>
      </w:r>
    </w:p>
    <w:p>
      <w:r>
        <w:rPr>
          <w:b/>
        </w:rPr>
        <w:t>E. 1</w:t>
      </w:r>
    </w:p>
    <w:p>
      <w:r>
        <w:t>La loi sur l'organisation judiciaire, du 22 novembre 1941 (LOJ; RS E 2 05) a été modifiée et a institué, dès le 1er août 2003, un Tribunal cantonal des assurances so- ciales statuant conformément à l'art. 56V al. 1 let. a ch. 3 LOJ en instance unique, sur les contestations prévues à l’art. 56 de la loi fédérale sur la partie générale du droit des assurances sociales, du 6 octobre 2000 (LPGA; RS 830.1) qui sont relati- ves à la loi fédérale sur les prestations complémentaires à l’assurance-vieillesse, survivants et invalidité du 6 octobre 2006 (LPC; RS 831.30). Il statue aussi, en ap- plication de l'art. 56V al. 2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w:t>
      </w:r>
    </w:p>
    <w:p>
      <w:r>
        <w:t>A/133/2010 - 5/9 -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mo- difications légales contenues dans la LPGA constituent, en règle générale, une ver- 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 sont donc applicables pour les prestations dues dès le 1er janvier 2008. Les dispositions légales en vigueur jusqu’au 31 décembre 2007 sont citées sous la dénomination aLPC ou aLPCC.</w:t>
      </w:r>
    </w:p>
    <w:p>
      <w:r>
        <w:rPr>
          <w:b/>
        </w:rPr>
        <w:t>E. 3</w:t>
      </w:r>
    </w:p>
    <w:p>
      <w:r>
        <w:t>Le délai de recours est de 30 jours (art. 60 al. 1 LPGA art. 9 LPC et art. 43 LPCC). La décision sur opposition date du 17 décembre 2009, de sorte que le recours du 16 janvier 2010 a été formé en temps utile (art. 39 al. 1 et 60 al. 2 LPGA). Interjeté dans la forme et le délai prévus par la loi, le recours est recevable (art. 56 ss LPGA).</w:t>
      </w:r>
    </w:p>
    <w:p>
      <w:r>
        <w:rPr>
          <w:b/>
        </w:rPr>
        <w:t>E. 4</w:t>
      </w:r>
    </w:p>
    <w:p>
      <w:r>
        <w:t>Le litige porte sur le calcul des prestations complémentaires fédérales et cantonales dues au recourant pour la période à compter du 1er octobre 2007, en particulier sur l’estimation de sa fortune mobilière ainsi que du rendement de celle-ci, et sur le montant qu'il est tenu de restituer au titre de prestations reçues à tort.</w:t>
      </w:r>
    </w:p>
    <w:p>
      <w:r>
        <w:rPr>
          <w:b/>
        </w:rPr>
        <w:t>E. 5</w:t>
      </w:r>
    </w:p>
    <w:p>
      <w:r>
        <w:t>Les ressortissants suisses ayant leur domicile et leur résidence habituelle en Suisse, qui perçoivent une rente de vieillesse de l’assurance-vieillesse et survivants (AVS; art. 2 al. 1 aLPC et art. 4 al. 1 let. a LPC) et qui remplissent une des condi- tions prévues aux articles 2a à 2d LPC, ont droit aux prestations complémentaires, si les dépenses reconnues (art. 3b aLPC et 10 LPC) sont supérieures aux revenus déterminants (art. 3c aLPC et 11 LPC). Le montant de la prestation complémentaire annuelle correspond à la part des dépenses reconnues qui excède les revenus déter- minants (art. 3a al. 1 aLPC et 9 al. 1 LPC). Les revenus déterminants comprennent, notamment, le produit de la fortune mobi- lière et immobilière ainsi que les rentes, pensions et autres prestations périodiques, y compris les rentes de l'AVS et de l'AI (art. 3c al. 1 let. b et d aLPC, art. 11 al. 1 let. b et d LPC). S'y ajoute un dixième de la fortune nette pour les bénéficiaires de rentes de l'assurance-vieillesse, dans la mesure où elle dépasse 25'000 fr. pour les personnes seules (art. 3c al. 1 let. c aLPC et 9 al. 1 let. c LPC).</w:t>
      </w:r>
    </w:p>
    <w:p>
      <w:r>
        <w:rPr>
          <w:b/>
        </w:rPr>
        <w:t>E. 6</w:t>
      </w:r>
    </w:p>
    <w:p>
      <w:r>
        <w:t>S’agissant des prestations complémentaires cantonales, l’art. 4 LPCC prévoit qu’ont droit aux prestations les personnes dont le revenu annuel déterminant</w:t>
      </w:r>
    </w:p>
    <w:p>
      <w:r>
        <w:t>A/133/2010 - 6/9 - n’atteint pas le revenu minimum cantonal d’aide sociale (ci-après : RMCAS) appli- cable. Le montant de la prestation complémentaire correspond, jusqu’au 31 décem- bre 2007, à la différence entre le RMCAS et le revenu déterminant du requérant (art. 15 al. 1 aLPCC) et, dès le 1er janvier 2008, à la part des dépenses reconnues qui excède le revenu annuel déterminant de l'intéressé (art. 15 al. 1 LPCC). Le revenu déterminant jusqu’au 31 décembre 2007 comprend, au sens de l’art. 5 al. 1 aLPCC, notamment, le produit de la fortune, tant mobilière qu’immobilière (let. b), un cinquième de la fortune nette après déduction d’un montant de 25'000 fr. pour un célibataire (let. c), les rentes de l’assurance-vieillesse et survivants et de l’assurance-invalidité ainsi que les indemnités journalières de l’assurance-invalidité (let. d), les rentes, pensions et autres prestations périodiques (let. f) et les presta- tions complémentaires fédérales (let. e). Le revenu déterminant dès le 1er janvier 2008, selon l’art. 5 LPCC, est calculé conformément aux règles fixées dans la LPC et ses dispositions d'exécution, moyennant les adaptations suivantes : les prestations complémentaires fédérales sont ajoutées au revenu déterminant (let. a) et, en déro- 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ch. 1).</w:t>
      </w:r>
    </w:p>
    <w:p>
      <w:r>
        <w:rPr>
          <w:b/>
        </w:rPr>
        <w:t>E. 7</w:t>
      </w:r>
    </w:p>
    <w:p>
      <w:r>
        <w:t>Le Conseil fédéral a la compétence d’édicter des prescriptions sur l’évaluation du revenu déterminant et de la fortune à prendre en compte (art. 3 al. 6 aLPC et 9 al. 5 let. b LPC). S’agissant de l’évaluation de la fortune à prendre en compte, le Conseil fédéral a fait usage de sa compétence en édictant l’art. 17 OPC-AVS/AI. Cette dis- position prévoit que la fortune doit être évaluée selon les règles de la législation sur l’impôt cantonal direct du canton du domicile (al. 1). Il s’agit de la fortune mobi- lière ainsi que les immeubles appartenant et servant d’habitation au requérant ou à une personne comprise dans le calcul de la PC. Cette réglementation n’outrepasse pas manifestement le cadre de la délégation de compétence accordée au Conseil fé- déral (ATF 125 V 69 consid. 3a; VSI 3/1999 p. 86 ss). Selon l’art. 7 aLPCC, en vigueur jusqu’au 31 décembre 2007, sont notamment considérés comme fortune de l'intéressé, et évalués conformément à la loi sur l'im- position des personnes physiques (impôt sur la fortune), l'argent comptant, les dé- pôts dans des banques et caisses d'épargne, les soldes de comptes courants et tous titres représentant la possession d'une somme d'argent (al. 1 let. f). Les diminutions et les déductions prévues aux art. 7, let. e, et 15 de la loi sur l'imposition des per- sonnes physiques (Impôt sur la fortune) ne sont pas applicables (al. 2). Dès le 1er janvier 2008, l’art. 7 LPCC prévoit que la fortune comprend la fortune mobilière et immobilière définie par la LPC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w:t>
      </w:r>
    </w:p>
    <w:p>
      <w:r>
        <w:t>A/133/2010 - 7/9 - 58 de ladite loi, qui ne sont pas applicables. Les règles d'évaluation prévues par la LPC et ses dispositions d'exécution sont réservées (al. 2).</w:t>
      </w:r>
    </w:p>
    <w:p>
      <w:r>
        <w:rPr>
          <w:b/>
        </w:rPr>
        <w:t>E. 8</w:t>
      </w:r>
    </w:p>
    <w:p>
      <w:r>
        <w:t>En l’espèce, au 30 septembre 2007, la fortune du recourant était composée de titres à raison de 9’045 fr., d’un compte postal présentant un solde de 2’190 fr. 77, plus pour son deuxième compte postal et ses deux comptes bancaires, vraisemblable- ment des mêmes montants qu’au 31 décembre 2007, soit au plus 4’968 fr. 85, ce qui représentait une fortune totale de 14’013 fr. 85 au plus. Après le décès de sa mère en octobre 2007, le recourant a hérité de la moitié des biens de celle-là consti- tués essentiellement de créances et titres, soit d’un montant de 40’895 fr. En outre, à la clôture du 31 décembre 2007, ses comptes bancaires et postaux mentionnaient un solde de 185 fr. 72 et 1’019 fr. 90 pour les comptes postaux ainsi que de 1'627 fr. 29 et 130 fr. 88 pour les comptes bancaires, à savoir 2’963 fr. 80 au total, alors que les relevés de ses titres indiquaient un solde de 8’847 fr. Sur la base de ces documents, il apparaît que la fortune totale du recourant s’élevait à 11’810 fr. 80 au 31 décembre 2007, soit une différence de 29’085 fr. entre la si- tuation au décès de sa mère et celle trois mois plus tard.</w:t>
      </w:r>
    </w:p>
    <w:p>
      <w:r>
        <w:rPr>
          <w:b/>
        </w:rPr>
        <w:t>E. 9</w:t>
      </w:r>
    </w:p>
    <w:p>
      <w:r>
        <w:t>Les parties ont l'obligation d'apporter, dans la mesure du possible, les preuves commandées par la nature du litige et des faits invoqués, faute de quoi elles ris- quent de devoir supporter les conséquences de l'absence de preuves, l'assureur so- cial pouvant être amené à statuer en l'état, sur la base des preuves disponibles (cf. ATF 125 V 195 consid. 2 et les références; voir également les art. 43 et 61 let. c LPGA). Ainsi, selon la jurisprudence, les diminutions de fortune demeurées inexpliquées par celui qui prétend une prestation complémentaire, en dépit de son devoir de col- laborer à l'instruction de la cause, peuvent être tenues pour des dessaisissements de fortune au sens de l'art. 3c al. 1 let. g LPC (VSI 1995 p. 176 consid. 2b, VSI 1994 p. 226 ss consid. 4a et 4b). Mais avant de statuer en l'état du dossier, l'administra- tion devra avertir la partie défaillante des conséquences de son attitude et lui impar- tir un délai raisonnable pour la modifier. De même devra-t-elle compléter elle- même l'instruction de la cause s'il lui est possible d'élucider les faits sans complica- tions spéciales, malgré l'absence de collaboration d'une partie (cf. ATF 117 V 263 consid. 3b et ATF 108 V 231; arrêt K 123/01 du 14 janvier 2003 résumé dans Res- ponsabilité et assurance, HAVS/REAS 2003, p. 156 ainsi que l'ATFA non publié du 28 août 2003 P 59/02 consid. 3.3). Le juge cantonal qui estime que les faits ne sont pas suffisamment élucidés a, en principe, le choix entre deux solutions, soit renvoyer la cause à l'administration pour complément d'instruction, soit procéder lui-même à une telle instruction com- plémentaire. Un renvoi à l'assureur, lorsqu'il a pour but d'établir l'état de fait, ne viole ni le principe de simplicité et de rapidité de la procédure, ni le principe inqui-</w:t>
      </w:r>
    </w:p>
    <w:p>
      <w:r>
        <w:t>A/133/2010 - 8/9 - 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w:t>
      </w:r>
    </w:p>
    <w:p>
      <w:r>
        <w:rPr>
          <w:b/>
        </w:rPr>
        <w:t>E. 10</w:t>
      </w:r>
    </w:p>
    <w:p>
      <w:r>
        <w:t>Dans ses calculs des prestations dues à compter du 1er octobre 2007, l’intimé a ra- jouté à la fortune mobilière du recourant les créances et titres de sa part successo- rale, à savoir 40'395 fr., sans instruire la question de la différence de fortune entre ses décomptes bancaires et la déclaration de succession. Or, il se pourrait notam- ment qu’il y ait un dessaisissement de fortune ou qu’une partie de l’héritage soit restée en placements obligataires ou similaires sur le compte UBS, de sorte que l’intimé ne pouvait pas rectifier les décomptes du recourant d’emblée, sans savoir s’il y a eu un dessaisissement de fortune, un oubli du recourant ou une quelconque erreur. Par conséquent, force est de conclure que l’intimé a non seulement constaté les faits de façon sommaire, mais qu’il a failli à son devoir d'instruction d'office (art. 43 al. 1 LPGA), selon lequel il doit prendre les mesures d’instruction nécessai- res et recueillir les renseignements dont il a besoin pour déterminer le droit aux prestations du recourant et, partant, l’étendue de l’éventuelle demande de restitution des prestations indument versées. En conséquence, le dossier est renvoyé à l'intimé pour qu’il procède à l’instruction de ces faits qu’il peut compléter sans complications spéciales.</w:t>
      </w:r>
    </w:p>
    <w:p>
      <w:r>
        <w:rPr>
          <w:b/>
        </w:rPr>
        <w:t>E. 11</w:t>
      </w:r>
    </w:p>
    <w:p>
      <w:r>
        <w:t>Au vu de ce qui précède, le recours sera partiellement admis au sens des considé- rants et les décisions des 14 janvier 2009 et 17 décembre 2009 seront annulées. Pour le surplus, la procédure est gratuite (art. 61 let. a LPGA).</w:t>
      </w:r>
    </w:p>
    <w:p>
      <w:r>
        <w:t>A/133/2010 - 9/9 -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