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ATAS/433/2008 vom 14. April 2008</w:t>
      </w:r>
    </w:p>
    <w:p>
      <w:r>
        <w:t>GE Cour de justice, 2008-04-14, FR</w:t>
      </w:r>
    </w:p>
    <w:p>
      <w:r>
        <w:rPr>
          <w:b/>
        </w:rPr>
        <w:t xml:space="preserve">Quelle: </w:t>
      </w:r>
      <w:r>
        <w:t>https://mcp.opencaselaw.ch/entscheid/ge_gerichte_ATAS_433_2008</w:t>
      </w:r>
    </w:p>
    <w:p>
      <w:r>
        <w:t>FR: GE_GERICHTE ATAS/433/2008 du 14 avril 2008</w:t>
      </w:r>
    </w:p>
    <w:p>
      <w:r>
        <w:t>IT: GE_GERICHTE ATAS/433/2008 del 14 aprile 2008</w:t>
      </w:r>
    </w:p>
    <w:p>
      <w:pPr>
        <w:pStyle w:val="Heading2"/>
      </w:pPr>
      <w:r>
        <w:t>Regeste</w:t>
      </w:r>
    </w:p>
    <w:p>
      <w:r>
        <w:t>Résumé: L'expertise sur laquelle s'est fondée l'OCAI n'était pas probante, car la recourante ne s'exprimait pas assez bien en français et un interprète, pour la partie psychiatrique en tout cas, aurait dû intervenir.</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25 janvier 2005. La LPGA s’applique donc au cas d’espèce.</w:t>
      </w:r>
    </w:p>
    <w:p>
      <w:r>
        <w:rPr>
          <w:b/>
        </w:rPr>
        <w:t>E. 3</w:t>
      </w:r>
    </w:p>
    <w:p>
      <w:r>
        <w:t>a)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3 août 2007, qui a été confirmé par la décision du 9 octobre 2007, contre laquelle l'assuré a interjeté directement recours devant le Tribunal de céans le 6 novembre 2007. c) Interjeté dans les forme et délai prévus par la loi, devant l'autorité compétente, le recours est en conséquence recevable (art. 56 ss LPGA).</w:t>
      </w:r>
    </w:p>
    <w:p>
      <w:r>
        <w:t>A/4259/2007 - 7/16 -</w:t>
      </w:r>
    </w:p>
    <w:p>
      <w:r>
        <w:rPr>
          <w:b/>
        </w:rPr>
        <w:t>E. 4</w:t>
      </w:r>
    </w:p>
    <w:p>
      <w:r>
        <w:t>L'objet du litige porte sur le droit de la recourante à une rente complète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 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w:t>
      </w:r>
    </w:p>
    <w:p>
      <w:r>
        <w:t>A/4259/2007 - 8/16 - avenir prévisible (ATF 119 V 102 consid. 4a et les références ; VSI 1999 p. 81 consid. 1a).</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w:t>
      </w:r>
    </w:p>
    <w:p>
      <w:r>
        <w:t>A/4259/2007 - 9/16 -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w:t>
      </w:r>
    </w:p>
    <w:p>
      <w:r>
        <w:t>A/4259/2007 - 10/16 -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t>A/4259/2007 - 11/16 -</w:t>
      </w:r>
    </w:p>
    <w:p>
      <w:r>
        <w:rPr>
          <w:b/>
        </w:rPr>
        <w:t>E. 9</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w:t>
      </w:r>
    </w:p>
    <w:p>
      <w:r>
        <w:t>A/4259/2007 - 12/16 -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10</w:t>
      </w:r>
    </w:p>
    <w:p>
      <w:r>
        <w:t>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w:t>
      </w:r>
    </w:p>
    <w:p>
      <w:r>
        <w:t>A/4259/2007 - 13/16 -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11</w:t>
      </w:r>
    </w:p>
    <w:p>
      <w:r>
        <w:t>En l'espèce figure au dossier une expertise du CEM concluant à une capacité de travail totale de la recourante dans une activité légère, par exemple de bureau.</w:t>
      </w:r>
    </w:p>
    <w:p>
      <w:r>
        <w:t>A/4259/2007 - 14/16 - S'agissant de la valeur probante de cette expertise, il convient de relever que la recourante a indiqué qu'elle n'avait pas bien compris les questions de l'expert psychiatre en raison de son manque de compréhension de la langue française et que celui-ci ne comprenait pas l'anglais. A cet égard, le Tribunal de céans a pu se convaincre, lors de l'audience de comparution personnelle des parties, que la recourante, accompagnée d'une interprète, ne maîtrise pas suffisamment la langue française pour qu'une expertise psychiatrique menée dans cette langue puisse revêtir une valeur probante. Par ailleurs, le Dr F_________, du CEM, n'a pas répondu à la question du Tribunal s'agissant de la compréhension de la langue anglaise par le Dr G_________. Il en découle également qu'il subsiste un doute sur le fait que les interventions de la recourante effectuées en anglais (cf. rapport d'expertise p. 13) aient été correctement comprises par l'expert. Dans ces conditions, l'intimé ne pouvait se fonder valablement sur l'expertise psychiatrique du CEM. Il incombe dès lors à l'intimé de procéder à une instruction complémentaire par le biais d'une expertise psychiatrique, soit auprès d'un expert maîtrisant parfaitement l'anglais, soit auprès d'un autre expert, avec l'aide d'un interprète. Quant au volet somatique de l'expertise du CEM, il convient de relever que, contrairement aux Drs A_________, B_________ et au service de rhumatologie des HUG, la Dresse E_________ a écarté le diagnostic de fibromyalgie. Lors de l'examen clinique du 7 décembre 2006, l'experte relève que tous les points de fibromyalgie sont positifs à la palpation, mais parfois absents lors de la palpation à l'attention déviée (cf. expertise p. 11), que les douleurs à la pression et notamment à la palpation dépassent largement la topographie habituelle des points de fibromyalgie et que les douleurs sont beaucoup moins intenses lors de l'examen effectué avec attention déviée, que le diagnostic de fibromyalgie n'est finalement pas retenu car les critères ne sont pas remplis, en particulier les points de fibromyalgie ne sont pas retrouvés lors de l'examen à l'attention déviée, que la topographie des douleurs à la pression et à la palpation est très diffuse et qu'il y a plusieurs contradictions dans la description des autres symptômes accompagnants (cf. expertise p. 15). Le Tribunal de céans constate que l'experte admet la présence de tous les points positifs de la fibromyalgie, même si elle relève qu'à l'attention déviée, la douleur est moins intense et que certains points ne sont pas retrouvés. Compte tenu du diagnostic de fibromyalgie clairement posé par des spécialistes en rhumatologie soit le service de rhumatologie des HUG et le Dr A_________ et du fait que tous les points de fibromyalgie n'ont pas besoin d'être tous présents pour que ce diagnostic soit reconnu (ATF du 25 mai 2007 I 512/06 consid. 3, 4), il subsiste un doute quant à la conclusion de l'expertise somatique excluant totalement ce diagnostic.</w:t>
      </w:r>
    </w:p>
    <w:p>
      <w:r>
        <w:t>A/4259/2007 - 15/16 - Cependant, comme l'a relevé l'intimé, même si le diagnostic de fibromyalgie était retenu, il conviendrait encore d'examiner si les critères jurisprudentiels posés dans l'arrêt du Tribunal Fédéral des Assurances précité sont remplis, la fibromyalgie étant assimilée au trouble somatoforme, plus particulièrement au syndrome douloureux somatoforme persistant (ATF du 20 avril 2006, I 805/04, ATF 132 V 65). Or, à cet égard, les questions médicales pertinentes pour l'évaluations des critères jurisprudentiels précités pourront être posées dans le cadre de l'expertise psychiatrique à ordonner. En conséquence, point n'est besoin, en l'état, d'ordonner une nouvelle expertise rhumatologique, afin de déterminer s'il existe ou non un diagnostic de fibromyalgie.</w:t>
      </w:r>
    </w:p>
    <w:p>
      <w:r>
        <w:rPr>
          <w:b/>
        </w:rPr>
        <w:t>E. 12</w:t>
      </w:r>
    </w:p>
    <w:p>
      <w:r>
        <w:t>Au vu de ce qui précède, le recours sera partiellement admis, la décision litigieuse annulée et la cause renvoyée à l'intimé pour instruction complémentaire dans le sens des considérants.</w:t>
      </w:r>
    </w:p>
    <w:p>
      <w:r>
        <w:rPr>
          <w:b/>
        </w:rPr>
        <w:t>E. 13</w:t>
      </w:r>
    </w:p>
    <w:p>
      <w:r>
        <w:t>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de sorte qu'un émolument de 500 fr. sera mis à la charge de l'intimé. Par ailleurs, une indemnité de 1'000 fr. sera allouée à la recourante à charge de l'intimé.</w:t>
      </w:r>
    </w:p>
    <w:p>
      <w:r>
        <w:t>A/4259/2007 - 16/16 -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