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ATAS/432/2020 vom 2. Juni 2020</w:t>
      </w:r>
    </w:p>
    <w:p>
      <w:r>
        <w:t>GE Cour de justice, 2020-06-02, FR</w:t>
      </w:r>
    </w:p>
    <w:p>
      <w:r>
        <w:rPr>
          <w:b/>
        </w:rPr>
        <w:t xml:space="preserve">Quelle: </w:t>
      </w:r>
      <w:r>
        <w:t>https://mcp.opencaselaw.ch/entscheid/ge_gerichte_ATAS_432_2020</w:t>
      </w:r>
    </w:p>
    <w:p>
      <w:r>
        <w:t>FR: GE_GERICHTE ATAS/432/2020 du 2 juin 2020</w:t>
      </w:r>
    </w:p>
    <w:p>
      <w:r>
        <w:t>IT: GE_GERICHTE ATAS/432/2020 del 2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w:t>
      </w:r>
    </w:p>
    <w:p>
      <w:r>
        <w:t>_____________________________________________________________________________________</w:t>
      </w:r>
    </w:p>
    <w:p>
      <w:r>
        <w:t>A/1341/2019 - 9/15 -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Selon l’art. 29 al. 1 LAI, le droit à la rente prend naissance au plus tôt à l’échéance d’une période de six mois à compter de la date à laquelle l’assuré a fait valoir son droit aux prestations conformément à l’art. 29, al. 1, LPGA2, mais pas avant le mois qui suit le 18e anniversaire de l’assuré.</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9</w:t>
      </w:r>
    </w:p>
    <w:p>
      <w:r>
        <w:t>Chez les assurés travaillant dans le ménage, le degré d'invalidité se détermine, en règle générale, au moyen d'une enquête économique sur place, alors que l'incapacité</w:t>
      </w:r>
    </w:p>
    <w:p>
      <w:r>
        <w:t>_____________________________________________________________________________________</w:t>
      </w:r>
    </w:p>
    <w:p>
      <w:r>
        <w:t>A/1341/2019 - 10/15 -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10</w:t>
      </w:r>
    </w:p>
    <w:p>
      <w:r>
        <w:t>Selon l’art. 27bis RAI en vigueur depuis le 1er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11</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_____________________________________________________________________________________</w:t>
      </w:r>
    </w:p>
    <w:p>
      <w:r>
        <w:t>A/1341/2019 - 11/15 -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_____________________________________________________________________________________</w:t>
      </w:r>
    </w:p>
    <w:p>
      <w:r>
        <w:t>A/1341/2019 - 12/15 -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14</w:t>
      </w:r>
    </w:p>
    <w:p>
      <w:r>
        <w:t>En l’occurrence, la question de la capacité de travail de la recourante n’est pas litigieuse. Les parties admettent en effet une capacité de travail restreinte de la recourante, depuis janvier 2017, à 50 % dans toute activité (avis du SMR du 15 octobre 2018 et procès-verbal de comparution personnelle du 30 septembre 2019). Reste litigieuse la question du statut de la recourante, l’intimé ayant considéré qu’elle présentait un statut de ménagère à 100 %, alors que la recourante prétend à un statut d’active, en indiquant qu’avant son atteinte à la santé, elle exerçait une activité de commerçante itinérante (faisant du porte à porte), en proposant de l’aiguisage et de la vannerie. A cet égard, la note statut de l’intimé, établie le 3 octobre 2018, est très succincte et se borne à indiquer que la recourante n’a jamais travaillé en Suisse ; aucune investigation n’a été menée par l’intimé pour aboutir à cette conclusion, hormis la présence au dossier de l’extrait du compte individuel de la recourante mentionnant des cotisations comme personne sans activité lucrative. Or, les éléments du dossier permettent de conclure, au degré de la vraisemblance prépondérante, à un statut d’active de la recourante.</w:t>
      </w:r>
    </w:p>
    <w:p>
      <w:r>
        <w:t>_____________________________________________________________________________________</w:t>
      </w:r>
    </w:p>
    <w:p>
      <w:r>
        <w:t>A/1341/2019 - 13/15 - En effet, l’enquête économique sur le ménage menée peu après, soit datée du 17 décembre 2018, relève que la recourante effectuait du travail pour la communauté gitane, soit des travaux de vannerie, d’aiguisage et du porte à porte, en réalisant un revenu d’environ CHF 120.- à CHF 150.- par jour. Entendue en audience de comparution personnelle, la recourante a confirmé qu’elle avait pratiqué du porte à porte pour de l’aiguisage et de la vente de paniers et balais, activité qu’elle exerçait toute la journée, pour un revenu journalier situé entre CHF 50.- et CHF 400.- ; elle a précisé que, sans atteinte à la santé, elle aurait continué toute la journée d’exercer cette activité, soit à 100 % ; son époux a relevé que la recourante avait dû travailler tous les jours depuis 2010, car ses propres revenus (rentes) avaient diminué, ce qui n’est pas contesté par l’intimé ; par ailleurs, le revenu qu’elle réalisait était destiné à sa famille et non pas à toute la communauté gitane. Ces déclarations sont corroborées par la carte de légitimation de commerçante itinérante que la recourante a sollicité d’août 2016 à août 2017, même si aucun autre document couvrant des années antérieures n’a été fourni. Quant aux médecins-traitants de la recourante, ils ont mentionné qu’elle travaillait en faisant du porte-à-porte (avis de la Dresse E______ du 21 décembre 2017) et qu’elle avait toujours travaillé dans le cadre de sa communauté gitane (avis du Dresse F______ des 2 février et 30 août 2018). Enfin, le fait que la recourante a elle-même indiqué, dans sa demande de prestations du 10 novembre 2017, qu’elle était femme au foyer n’est pas déterminant. On constate en effet qu’une ambiguïté existe dans la qualification de l’activité professionnelle, telle que pratiquée par la recourante, assimilée parfois à une activité ménagère. En effet, cela ressort par exemple du rapport de la Dresse E______ qui indique que la recourante était femme au foyer et faisait du porte-à- porte (avis du 21 décembre 2017) ou de celui de l’enquêtrice de l’intimé (du 17 décembre 2018) qui relève que la recourante est femme au foyer, qu’elle n’a jamais eu d’activité lucrative mais qu’elle effectuait des travaux de vannerie, aiguisage et du porte-à-porte pour un revenu d’environ CHF 120.- à CHF 150.- par jour. La chambre de céans constate encore que les activités que la recourante affirme avoir exercées sont plausibles. Selon un arrêt du Tribunal fédéral du 15 mars 2012 (ATF 138 I 205) les gens du voyage suisses (appelés également Tziganes) forment une communauté estimée à 30'000 personnes. Si la grande majorité d'entre eux mène aujourd'hui un mode de vie sédentaire, une frange importante de ce groupe continue d'avoir un mode de vie qui peut être caractérisé de semi-nomade. La tradition d'itinérance (ou nomadisme) reste et demeure une composante essentielle de l'identité culturelle tzigane, intrinsèquement liée à l'exercice de leurs différentes activités professionnelles. Traditionnellement, les gens du voyage exercent des métiers dans les domaines de la récupération (achat d'antiquités, recyclage, collecte de vieux métal, etc.), du commerce forain et de l'artisanat ambulant (aiguisage, vannerie, rétamage, etc.), quand bien même leur champ d'activité ne saurait se limiter à ces seuls domaines (Office fédéral de la culture, Les gens du voyage en</w:t>
      </w:r>
    </w:p>
    <w:p>
      <w:r>
        <w:t>_____________________________________________________________________________________</w:t>
      </w:r>
    </w:p>
    <w:p>
      <w:r>
        <w:t>A/1341/2019 - 14/15 - Suisse, www.bak.admin.ch, sous Création culturelle, Gens du voyage; JOËLLE SAMBUC BLOISE, La situation juridique des Tziganes en Suisse, 2007, p. 67). Au vu de ce qui précède, l’absence de cotisation de la part de la recourante comme personne active n’est pas suffisante pour considérer que celle-ci est femme au foyer et les autres éléments précités permettent de retenir, au degré de la vraisemblance prépondérante, un statut d’active de la recourante.</w:t>
      </w:r>
    </w:p>
    <w:p>
      <w:r>
        <w:rPr>
          <w:b/>
        </w:rPr>
        <w:t>E. 15</w:t>
      </w:r>
    </w:p>
    <w:p>
      <w:r>
        <w:t>S’agissant du calcul du degré d’invalidité, il se confond avec celui de l’incapacité de travail, la recourante étant reconnue capable de travailler à 50 % dans son activité habituelle et incapable de travailler à 50 % dans toute activité depuis janvier 2017. En conséquence, la recourante a droit à une demi-rente d’invalidité, dès le 1er janvier 2018, vu le dépôt de la demande de prestation courant juillet 2017.</w:t>
      </w:r>
    </w:p>
    <w:p>
      <w:r>
        <w:rPr>
          <w:b/>
        </w:rPr>
        <w:t>E. 16</w:t>
      </w:r>
    </w:p>
    <w:p>
      <w:r>
        <w:t>Partant, le recours sera admis, la décision litigieuse annulée et il sera dit que la recourante a droit à une demi-rente d’invalidité dès le 1er janvier 2018. Vu l’issue du litige, une indemnité de CHF 3'000.- sera accordée à la recourante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_____________________________________________________________________________________</w:t>
      </w:r>
    </w:p>
    <w:p>
      <w:r>
        <w:t>A/1341/2019 - 15/15 -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