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ATAS/432/2013 vom 8. Mai 2013</w:t>
      </w:r>
    </w:p>
    <w:p>
      <w:r>
        <w:t>GE Cour de justice, 2013-05-08, FR</w:t>
      </w:r>
    </w:p>
    <w:p>
      <w:r>
        <w:rPr>
          <w:b/>
        </w:rPr>
        <w:t xml:space="preserve">Quelle: </w:t>
      </w:r>
      <w:r>
        <w:t>https://mcp.opencaselaw.ch/entscheid/ge_gerichte_ATAS_432_2013</w:t>
      </w:r>
    </w:p>
    <w:p>
      <w:r>
        <w:t>FR: GE_GERICHTE ATAS/432/2013 du 8 mai 2013</w:t>
      </w:r>
    </w:p>
    <w:p>
      <w:r>
        <w:t>IT: GE_GERICHTE ATAS/432/2013 del 8 maggio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du Code de procédure civile du 19 décembre 2008 – CPC; RS 272),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Il existe des cas où il n’est pas possible de procéder à un partage des prestations de sortie conformément à l’art. 122 al. 1 CC. Le principal cas d’impossibilité est la survenance d’un cas de prévoyance, si minimes soient les prestations versées ou les avoirs à leur base. Dans ce cas, une indemnité équitable au sens de l’art. 124 CC sera due (ATF 130 III 297 consid. 3.3.1 p. 300; 129 V 447, consid. 5.1).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w:t>
      </w:r>
    </w:p>
    <w:p>
      <w:r>
        <w:t>A/2672/2012 5/6 Ehescheidung und Eintritt des Vorsorgefalles der beruflichen Vorsorge -Hinweise für die Praxis, PJA 2001 p. 155).</w:t>
      </w:r>
    </w:p>
    <w:p>
      <w:r>
        <w:rPr>
          <w:b/>
        </w:rPr>
        <w:t>E. 4</w:t>
      </w:r>
    </w:p>
    <w:p>
      <w:r>
        <w:t>En l’espèce, le juge de première instance a ordonné le partage par moitié des prestations de sortie acquises durant le mariage par les demandeurs. Les dates pertinentes sont, d’une part, celle du mariage, le 17 janvier 1997, d’autre part le 8 juin 2012, date à laquelle le jugement de divorce est devenu exécutoire.</w:t>
      </w:r>
    </w:p>
    <w:p>
      <w:r>
        <w:rPr>
          <w:b/>
        </w:rPr>
        <w:t>E. 5</w:t>
      </w:r>
    </w:p>
    <w:p>
      <w:r>
        <w:t>L'instruction de la cause a démontré que le demandeur ne dispose d'aucun droit concret à une rente du 2ème pilier, en dépit de son incapacité de travail depuis le 6 juillet 2002. Partant, la survenance d'un cas de prévoyance doit être niée, de sorte que rien ne s'oppose au partage des avoirs de vieillesse des ex-époux.</w:t>
      </w:r>
    </w:p>
    <w:p>
      <w:r>
        <w:rPr>
          <w:b/>
        </w:rPr>
        <w:t>E. 6</w:t>
      </w:r>
    </w:p>
    <w:p>
      <w:r>
        <w:t>Selon les documents produits, la prestation acquise pendant le mariage par le demandeur est de 95'258 fr. 87 (67'725 fr. 60 + 22'397 fr. 42 + 9'209 fr. 40 - 4'073.55), tandis que celle acquise par la demanderesse est de 25'578 fr. 15, les intérêts ayant déjà été calculés par les institutions de prévoyance défenderesses. Ainsi, le demandeur doit à son ex-épouse le montant de 47'629 fr. 40 (95'258 fr. 87 fr. : 2) et celle-ci lui doit le montant de 12'789 fr. 10 (25'578 fr. 15 : 2), de sorte que c’est le demandeur qui doit à son ex-épouse la somme de 34'840 fr. 30.</w:t>
      </w:r>
    </w:p>
    <w:p>
      <w:r>
        <w:rPr>
          <w:b/>
        </w:rPr>
        <w:t>E. 7</w:t>
      </w:r>
    </w:p>
    <w:p>
      <w:r>
        <w:t>En ce que le demandeur requiert la compensation de l'avoir de vieillesse revenant à son ex-épouse avec la moitié des loyers dus par celle-ci pendant la vie commune, sa conclusion n'est pas recevable, seul le juge du divorce étant compétent pour fixer la clé du partage des avoirs de vieillesse et pour liquider le régime matrimonial.</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A/2672/2012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