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ATAS/432/2011 vom 3. Mai 2011</w:t>
      </w:r>
    </w:p>
    <w:p>
      <w:r>
        <w:t>GE Cour de justice, 2011-05-03, FR</w:t>
      </w:r>
    </w:p>
    <w:p>
      <w:r>
        <w:rPr>
          <w:b/>
        </w:rPr>
        <w:t xml:space="preserve">Quelle: </w:t>
      </w:r>
      <w:r>
        <w:t>https://mcp.opencaselaw.ch/entscheid/ge_gerichte_ATAS_432_2011</w:t>
      </w:r>
    </w:p>
    <w:p>
      <w:r>
        <w:t>FR: GE_GERICHTE ATAS/432/2011 du 3 mai 2011</w:t>
      </w:r>
    </w:p>
    <w:p>
      <w:r>
        <w:t>IT: GE_GERICHTE ATAS/432/2011 del 3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alors compétent, le 19 novembre 2008, le recours contre la décision de l’assureur du vendredi 17 octobre 2008 intervient en temps utile (art. 60 al. 1 LPGA). Les autres conditions prévues par les art. 56 et ss LPGA étant réalisées, le recours est recevable.</w:t>
      </w:r>
    </w:p>
    <w:p>
      <w:r>
        <w:rPr>
          <w:b/>
        </w:rPr>
        <w:t>E. 4</w:t>
      </w:r>
    </w:p>
    <w:p>
      <w:r>
        <w:t>Le litige ne porte plus que sur la prise en charge des frais de traitement du recourant suite à l’évènement du 20 novembre 2006, et en particulier les frais de l’intervention chirurgicale (arthroscopie) du 7 mai 2007. Singulièrement, il convient de déterminer si il existe un lien de causalité naturelle entre l’événement du 20 novembre 2006 et les lésions ayant nécessité l’intervention chirurgicale du 7 mai 2007.</w:t>
      </w:r>
    </w:p>
    <w:p>
      <w:r>
        <w:rPr>
          <w:b/>
        </w:rPr>
        <w:t>E. 5</w:t>
      </w:r>
    </w:p>
    <w:p>
      <w:r>
        <w:t>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w:t>
      </w:r>
    </w:p>
    <w:p>
      <w:r>
        <w:t>A/4171/2008 - 12/17 -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p. 181, 402 consid. 4.3 p. 406).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«post hoc ergo propter hoc»; ATF 119 V 335 consid. 2b/bb p. 341 s.; RAMA 1999 no U 341 p. 408 s., consid. 3b). Il convient en principe d'en rechercher l'étiologie et de vérifier, sur cette base, l'existence du rapport de causalité avec l'événement assuré.</w:t>
      </w:r>
    </w:p>
    <w:p>
      <w:r>
        <w:rPr>
          <w:b/>
        </w:rPr>
        <w:t>E. 6</w:t>
      </w:r>
    </w:p>
    <w:p>
      <w:r>
        <w:t>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w:t>
      </w:r>
    </w:p>
    <w:p>
      <w:r>
        <w:t>A/4171/2008 - 13/17 - g. Les lésions de ligaments; h. Les lésions du tympan. Cette liste est exhaustive (ATF 116 V 136 consid. 4a p. 140, 145 consid. 2b p. 147). D'après la jurisprudence, une déchirure de la coiffe des rotateurs est assimilée à une déchirure de tendons au sens de l'art. 9 al. 2 let. f OLAA (ATF 123 V 43).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s.; 116 V 145 consid. 2c p. 147 s.; 114 V 298 consid. 3c p. 301). Il faut qu'un facteur extérieur soit une cause possible de la lésion, au moins à titre partiel, pour qu'une lésion assimilée à un accident soit admise.</w:t>
      </w:r>
    </w:p>
    <w:p>
      <w:r>
        <w:rPr>
          <w:b/>
        </w:rPr>
        <w:t>E. 7</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w:t>
      </w:r>
    </w:p>
    <w:p>
      <w:r>
        <w:t>A/4171/2008 - 14/17 - conclusions de l'expert mandaté par le tribunal ou par l'assureur-accidents. (ATF 125 V 351, consid. 3c).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8</w:t>
      </w:r>
    </w:p>
    <w:p>
      <w:r>
        <w:t>En l’espèce, il s’avère que les lésions corporelles du recourant ne font pas partie des lésions assimilées à un accident au sens de l’art. 9 al. 2 OLAA. En effet, le Dr C__________ mentionne une désinsertion partielle, soit un décollement (expertise du Dr D__________ du 13.09.2007, page 9), du labrum. Le Dr D__________ ne retient pas un tel décollement, mais une lésion dégénérative caractéristique, soit un effilochage. Quant aux Drs G__________ et H__________, ils rejoignent l’analyse de l’arthro-IRM effectuée par le Dr D__________ et décrivent les lésions constatées sur les imageries, sans d’ailleurs retrouver la lésion de type SLAP II décrite par le Dr C__________. Ainsi, aucun médecin ne se prononce en faveur d’une déchirure de tendons ou de la coiffe des rotateurs. Il s’ensuit qu’il convient de ne pas faire application de l’art. 9 al. 2 OLAA en l’espèce.</w:t>
      </w:r>
    </w:p>
    <w:p>
      <w:r>
        <w:rPr>
          <w:b/>
        </w:rPr>
        <w:t>E. 9</w:t>
      </w:r>
    </w:p>
    <w:p>
      <w:r>
        <w:t>Les avis médicaux divergent au sujet du lien de causalité naturelle. Il sera retenu que l’avis du Dr D__________ est complet, détaillé et convainquant, de telle sorte qu’il peut lui être accordé une pleine valeur probante. A ce sujet, les réserves évoquées par le Dr C__________ et les plaintes dont il a fait état ne peuvent en aucune façon être retenue, dès lors qu’il n’a pas été démontré que lesdites plaintes existent réellement, ni qu’elles soient bien fondées. Il n’est pas non plus démontré que le Dr D__________ aurait un point de vue systématiquement orienté et favorable aux assureurs. Il n’y a pas non plus lieu de retenir que l’avis du Dr D__________ est fondé sur de fausses prémisses. En effet, ce médecin a précisé lors de son audition par le Tribunal ce qu’il entendait au sujet de la violence du choc. Il a notamment indiqué que le recourant n’était pas tombé. Il n’apparaît ainsi pas que le Dr D__________ se soit fondé sur un état de fait erroné, puisqu’à aucun moment le recourant n’a prétendu être tombé. Au contraire, il a expliqué lors de son audition du 10 décembre 2009 avoir continué à travailler. Quant au caractère lourd du travail effectué par le recourant, l’on ne saurait considérer que le Dr D__________ s’est fondé sur une prémisse erronée. D’une part, l’activité du recourant comprend de la manutention. D’autre part, le Dr</w:t>
      </w:r>
    </w:p>
    <w:p>
      <w:r>
        <w:t>A/4171/2008 - 15/17 - D__________ a précisé lors de son audition du 1er juillet 2010 que d’autres éléments entraient en considération. Or, sur le fond, le Dr D__________ retient que le lien de causalité entre l’évènement du 20 novembre 2006 et l’intervention chirurgicale est seulement possible. Le rapport d’expertise des Drs G__________ et H__________ revêt une moindre valeur probante, dès lors qu’elle est présentée par une partie, conformément à la jurisprudence citée plus haut. De surcroît, elle ne permet pas de remettre en doute les conclusions de l’expert. En effet, les Drs G__________ et H__________ indiquent notamment : « Nous estimons, pour notre part, que la lésion du tendon sous-scapulaire, la subluxation du long chef du biceps et la lésion labrale présentées par [le recourant] ont pu avoir une origine traumatique » (expertise du 8 mai 2009, p. 8). Ils ajoutent : « Il existe clairement […] une action vulnérante susceptible d’engendrer les lésions retrouvées chez [le recourant] » (page 9), avant de considérer « On notera, par ailleurs, qu’une fois les lésions qui avaient vraisemblablement une origine traumatique ont été prises en charge chirurgicalement, la symptomatologie s’est très rapidement amendée » (page 9). Les mots « ont pu » et « susceptibles d’engendrer » annoncent une simple possibilité, par la suite envisagée au degré de la simple vraisemblance. Or,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126 V 319 consid. 5a p. 322). L’appréciation des Drs G__________ et H__________, tout comme celle du Dr D__________ ne permet ainsi pas de retenir un lien de causalité naturelle au degré de vraisemblance prépondérante requis pour l’octroi de prestations. Enfin, l’avis du Dr C__________, qui a moindre valeur probante puisqu’il est le médecin-traitant, ne saurait à lui seul infirmer les conclusions tirées des appréciations des trois experts médicaux précités. A vrai dire, compte tenu du fait</w:t>
      </w:r>
    </w:p>
    <w:p>
      <w:r>
        <w:t>A/4171/2008 - 16/17 - que l’avis des Drs G__________ et H__________ corrobore en partie celui du Dr D__________ et permet de tirer la même conclusion juridique, le point de vue du Dr C__________ ne mène pas le Tribunal à douter, de sorte que la mise sur pied d’une expertise ne se justifie pas.</w:t>
      </w:r>
    </w:p>
    <w:p>
      <w:r>
        <w:rPr>
          <w:b/>
        </w:rPr>
        <w:t>E. 10</w:t>
      </w:r>
    </w:p>
    <w:p>
      <w:r>
        <w:t>Il ne saurait ainsi être retenu que l’évènement du 20 novembre 2006 est en lien de causalité naturelle avec les lésions ayant nécessité l’intervention chirurgicale du 7 mai 2007. Ainsi, l’une des conditions permettant l’octroi des prestations fait défaut.</w:t>
      </w:r>
    </w:p>
    <w:p>
      <w:r>
        <w:rPr>
          <w:b/>
        </w:rPr>
        <w:t>E. 11</w:t>
      </w:r>
    </w:p>
    <w:p>
      <w:r>
        <w:t>Le recours s’en trouve mal fondé, de sorte qu’il sera rejeté.</w:t>
      </w:r>
    </w:p>
    <w:p>
      <w:r>
        <w:t>A/4171/2008 - 17/17 -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